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5501" w14:textId="77777777" w:rsidR="004C3189" w:rsidRDefault="004C3189" w:rsidP="004C3189">
      <w:pPr>
        <w:autoSpaceDE w:val="0"/>
        <w:autoSpaceDN w:val="0"/>
        <w:adjustRightInd w:val="0"/>
        <w:spacing w:before="240" w:line="360" w:lineRule="auto"/>
        <w:rPr>
          <w:rStyle w:val="TtuloCar"/>
          <w:rFonts w:ascii="Arial" w:hAnsi="Arial" w:cs="Arial"/>
          <w:b/>
          <w:bCs/>
          <w:sz w:val="24"/>
          <w:szCs w:val="24"/>
          <w:lang w:val="es-US"/>
        </w:rPr>
      </w:pPr>
      <w:bookmarkStart w:id="0" w:name="_Hlk127526116"/>
      <w:bookmarkEnd w:id="0"/>
      <w:r>
        <w:rPr>
          <w:rStyle w:val="TtuloCar"/>
          <w:rFonts w:ascii="Arial" w:hAnsi="Arial" w:cs="Arial"/>
          <w:b/>
          <w:bCs/>
          <w:sz w:val="24"/>
          <w:szCs w:val="24"/>
          <w:lang w:val="es-US"/>
        </w:rPr>
        <w:t>Artículo Original</w:t>
      </w:r>
    </w:p>
    <w:p w14:paraId="410D93F5" w14:textId="77777777" w:rsidR="00540B1E" w:rsidRDefault="00540B1E" w:rsidP="00B34F32">
      <w:pPr>
        <w:autoSpaceDE w:val="0"/>
        <w:autoSpaceDN w:val="0"/>
        <w:adjustRightInd w:val="0"/>
        <w:spacing w:line="360" w:lineRule="auto"/>
        <w:jc w:val="center"/>
        <w:rPr>
          <w:rFonts w:ascii="Arial" w:eastAsia="Times New Roman" w:hAnsi="Arial"/>
          <w:b/>
          <w:bCs/>
          <w:color w:val="000000"/>
          <w:sz w:val="24"/>
          <w:szCs w:val="24"/>
          <w:lang w:val="es-US"/>
        </w:rPr>
      </w:pPr>
      <w:r w:rsidRPr="00BE2529">
        <w:rPr>
          <w:rStyle w:val="TtuloCar"/>
          <w:rFonts w:ascii="Arial" w:hAnsi="Arial" w:cs="Arial"/>
          <w:b/>
          <w:bCs/>
          <w:sz w:val="24"/>
          <w:szCs w:val="24"/>
          <w:lang w:val="es-US"/>
        </w:rPr>
        <w:t>IMPACTO MATERIAL DE TÉCNICA DE INMUNOHISTOQUÍMICA EN PACIENTES CON C</w:t>
      </w:r>
      <w:r w:rsidRPr="00BE2529">
        <w:rPr>
          <w:rStyle w:val="TtuloCar"/>
          <w:rFonts w:ascii="Arial" w:hAnsi="Arial" w:cs="Arial"/>
          <w:b/>
          <w:bCs/>
          <w:sz w:val="24"/>
          <w:szCs w:val="24"/>
          <w:lang w:val="es-ES"/>
        </w:rPr>
        <w:t>ÁNCER DE MAMA</w:t>
      </w:r>
      <w:r w:rsidR="00B34F32">
        <w:rPr>
          <w:rStyle w:val="TtuloCar"/>
          <w:rFonts w:ascii="Arial" w:hAnsi="Arial" w:cs="Arial"/>
          <w:b/>
          <w:bCs/>
          <w:sz w:val="24"/>
          <w:szCs w:val="24"/>
          <w:lang w:val="es-ES"/>
        </w:rPr>
        <w:t xml:space="preserve"> EN MATANZAS</w:t>
      </w:r>
    </w:p>
    <w:p w14:paraId="40F1ED34" w14:textId="77777777" w:rsidR="00B34F32" w:rsidRPr="00B34F32" w:rsidRDefault="00B34F32" w:rsidP="00B34F32">
      <w:pPr>
        <w:autoSpaceDE w:val="0"/>
        <w:autoSpaceDN w:val="0"/>
        <w:adjustRightInd w:val="0"/>
        <w:spacing w:line="360" w:lineRule="auto"/>
        <w:jc w:val="center"/>
        <w:rPr>
          <w:rFonts w:ascii="Arial" w:eastAsia="Times New Roman" w:hAnsi="Arial"/>
          <w:b/>
          <w:bCs/>
          <w:color w:val="000000"/>
          <w:sz w:val="24"/>
          <w:szCs w:val="24"/>
          <w:lang w:eastAsia="es-ES"/>
        </w:rPr>
      </w:pPr>
      <w:r w:rsidRPr="00B34F32">
        <w:rPr>
          <w:rFonts w:ascii="Arial" w:eastAsia="Times New Roman" w:hAnsi="Arial"/>
          <w:b/>
          <w:bCs/>
          <w:color w:val="000000"/>
          <w:sz w:val="24"/>
          <w:szCs w:val="24"/>
          <w:lang w:eastAsia="es-ES"/>
        </w:rPr>
        <w:t>MATERIAL IMPACT OF THE IMMUNOHISTOCHEMICAL TECHNIQUE IN PATIENTS WITH BREAST CANCER</w:t>
      </w:r>
      <w:r>
        <w:rPr>
          <w:rFonts w:ascii="Arial" w:eastAsia="Times New Roman" w:hAnsi="Arial"/>
          <w:b/>
          <w:bCs/>
          <w:color w:val="000000"/>
          <w:sz w:val="24"/>
          <w:szCs w:val="24"/>
          <w:lang w:eastAsia="es-ES"/>
        </w:rPr>
        <w:t xml:space="preserve"> IN MATANZAS</w:t>
      </w:r>
    </w:p>
    <w:p w14:paraId="1C25BD82" w14:textId="402537C6" w:rsidR="00540B1E" w:rsidRPr="007A1764" w:rsidRDefault="00540B1E" w:rsidP="007A1764">
      <w:pPr>
        <w:spacing w:line="360" w:lineRule="auto"/>
        <w:rPr>
          <w:rFonts w:ascii="Arial" w:hAnsi="Arial"/>
          <w:sz w:val="24"/>
          <w:szCs w:val="24"/>
          <w:lang w:val="es-US"/>
        </w:rPr>
      </w:pPr>
      <w:r w:rsidRPr="007A1764">
        <w:rPr>
          <w:rFonts w:ascii="Arial" w:hAnsi="Arial"/>
          <w:sz w:val="24"/>
          <w:szCs w:val="24"/>
          <w:lang w:val="es-US"/>
        </w:rPr>
        <w:t>Luís Enrique Curbelo Gutiérrez*</w:t>
      </w:r>
      <w:r w:rsidRPr="007A1764">
        <w:rPr>
          <w:rFonts w:ascii="Arial" w:hAnsi="Arial"/>
          <w:sz w:val="24"/>
          <w:szCs w:val="24"/>
          <w:vertAlign w:val="superscript"/>
          <w:lang w:val="es-US"/>
        </w:rPr>
        <w:t>1</w:t>
      </w:r>
      <w:r w:rsidR="00BE2529" w:rsidRPr="007A1764">
        <w:rPr>
          <w:rFonts w:ascii="Arial" w:hAnsi="Arial"/>
          <w:noProof/>
          <w:sz w:val="24"/>
          <w:szCs w:val="24"/>
          <w:lang w:val="es-ES" w:eastAsia="es-ES"/>
        </w:rPr>
        <w:drawing>
          <wp:inline distT="0" distB="0" distL="0" distR="0" wp14:anchorId="7A253DFE" wp14:editId="01C8294C">
            <wp:extent cx="208280" cy="205638"/>
            <wp:effectExtent l="0" t="0" r="127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42" cy="272836"/>
                    </a:xfrm>
                    <a:prstGeom prst="rect">
                      <a:avLst/>
                    </a:prstGeom>
                    <a:noFill/>
                    <a:ln>
                      <a:noFill/>
                    </a:ln>
                  </pic:spPr>
                </pic:pic>
              </a:graphicData>
            </a:graphic>
          </wp:inline>
        </w:drawing>
      </w:r>
      <w:hyperlink r:id="rId8" w:history="1">
        <w:r w:rsidR="00BE2529" w:rsidRPr="007A1764">
          <w:rPr>
            <w:rStyle w:val="Hipervnculo"/>
            <w:rFonts w:ascii="Arial" w:hAnsi="Arial"/>
            <w:sz w:val="24"/>
            <w:szCs w:val="24"/>
            <w:lang w:val="es-US"/>
          </w:rPr>
          <w:t>http://orcid.org/0000-0002-7761-9595</w:t>
        </w:r>
      </w:hyperlink>
      <w:r w:rsidR="00B34F32" w:rsidRPr="007A1764">
        <w:rPr>
          <w:rFonts w:ascii="Arial" w:hAnsi="Arial"/>
          <w:sz w:val="24"/>
          <w:szCs w:val="24"/>
          <w:lang w:val="es-US"/>
        </w:rPr>
        <w:t xml:space="preserve">, </w:t>
      </w:r>
      <w:hyperlink r:id="rId9" w:history="1">
        <w:r w:rsidR="00B34F32" w:rsidRPr="007A1764">
          <w:rPr>
            <w:rStyle w:val="Hipervnculo"/>
            <w:rFonts w:ascii="Arial" w:hAnsi="Arial"/>
            <w:sz w:val="24"/>
            <w:szCs w:val="24"/>
            <w:lang w:val="es-US"/>
          </w:rPr>
          <w:t>luis.curbelo@icloud.com</w:t>
        </w:r>
      </w:hyperlink>
      <w:r w:rsidR="00B34F32" w:rsidRPr="007A1764">
        <w:rPr>
          <w:rFonts w:ascii="Arial" w:hAnsi="Arial"/>
          <w:sz w:val="24"/>
          <w:szCs w:val="24"/>
          <w:lang w:val="es-US"/>
        </w:rPr>
        <w:t>, +53 54265483</w:t>
      </w:r>
      <w:r w:rsidR="00257D39">
        <w:rPr>
          <w:rFonts w:ascii="Arial" w:hAnsi="Arial"/>
          <w:sz w:val="24"/>
          <w:szCs w:val="24"/>
          <w:lang w:val="es-US"/>
        </w:rPr>
        <w:t xml:space="preserve">. Especialista de 1er grado en Oncología Médica. </w:t>
      </w:r>
    </w:p>
    <w:p w14:paraId="6EE3E0FE" w14:textId="4F7F2C8E" w:rsidR="00540B1E" w:rsidRPr="00257D39" w:rsidRDefault="00540B1E" w:rsidP="007A1764">
      <w:pPr>
        <w:spacing w:line="360" w:lineRule="auto"/>
        <w:rPr>
          <w:rFonts w:ascii="Arial" w:hAnsi="Arial"/>
          <w:sz w:val="24"/>
          <w:szCs w:val="24"/>
          <w:lang w:val="es-US"/>
        </w:rPr>
      </w:pPr>
      <w:r w:rsidRPr="007A1764">
        <w:rPr>
          <w:rFonts w:ascii="Arial" w:hAnsi="Arial"/>
          <w:sz w:val="24"/>
          <w:szCs w:val="24"/>
        </w:rPr>
        <w:t>Mildrey García Hernández</w:t>
      </w:r>
      <w:r w:rsidR="00C44284" w:rsidRPr="007A1764">
        <w:rPr>
          <w:rFonts w:ascii="Arial" w:hAnsi="Arial"/>
          <w:sz w:val="24"/>
          <w:szCs w:val="24"/>
          <w:vertAlign w:val="superscript"/>
        </w:rPr>
        <w:t>1</w:t>
      </w:r>
      <w:r w:rsidR="00BE2529" w:rsidRPr="007A1764">
        <w:rPr>
          <w:rFonts w:ascii="Arial" w:hAnsi="Arial"/>
          <w:noProof/>
          <w:sz w:val="24"/>
          <w:szCs w:val="24"/>
          <w:lang w:val="es-ES" w:eastAsia="es-ES"/>
        </w:rPr>
        <w:drawing>
          <wp:inline distT="0" distB="0" distL="0" distR="0" wp14:anchorId="76E4EB00" wp14:editId="47184727">
            <wp:extent cx="208280" cy="205638"/>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42" cy="272836"/>
                    </a:xfrm>
                    <a:prstGeom prst="rect">
                      <a:avLst/>
                    </a:prstGeom>
                    <a:noFill/>
                    <a:ln>
                      <a:noFill/>
                    </a:ln>
                  </pic:spPr>
                </pic:pic>
              </a:graphicData>
            </a:graphic>
          </wp:inline>
        </w:drawing>
      </w:r>
      <w:hyperlink r:id="rId10" w:history="1">
        <w:r w:rsidR="00BE2529" w:rsidRPr="007A1764">
          <w:rPr>
            <w:rStyle w:val="Hipervnculo"/>
            <w:rFonts w:ascii="Arial" w:hAnsi="Arial"/>
            <w:sz w:val="24"/>
            <w:szCs w:val="24"/>
          </w:rPr>
          <w:t>http://orcid.org/0000-0002-7247-1384</w:t>
        </w:r>
      </w:hyperlink>
      <w:r w:rsidR="00B34F32" w:rsidRPr="007A1764">
        <w:rPr>
          <w:rFonts w:ascii="Arial" w:hAnsi="Arial"/>
          <w:sz w:val="24"/>
          <w:szCs w:val="24"/>
        </w:rPr>
        <w:t xml:space="preserve">, </w:t>
      </w:r>
      <w:hyperlink r:id="rId11" w:history="1">
        <w:r w:rsidR="008932D9" w:rsidRPr="007A1764">
          <w:rPr>
            <w:rStyle w:val="Hipervnculo"/>
            <w:rFonts w:ascii="Arial" w:hAnsi="Arial"/>
            <w:sz w:val="24"/>
            <w:szCs w:val="24"/>
          </w:rPr>
          <w:t>mildreyg.mtz@infomed.sld.cu</w:t>
        </w:r>
      </w:hyperlink>
      <w:r w:rsidR="008932D9" w:rsidRPr="007A1764">
        <w:rPr>
          <w:rFonts w:ascii="Arial" w:hAnsi="Arial"/>
          <w:sz w:val="24"/>
          <w:szCs w:val="24"/>
        </w:rPr>
        <w:t>, +53 53759438</w:t>
      </w:r>
      <w:r w:rsidR="00257D39">
        <w:rPr>
          <w:rFonts w:ascii="Arial" w:hAnsi="Arial"/>
          <w:sz w:val="24"/>
          <w:szCs w:val="24"/>
        </w:rPr>
        <w:t xml:space="preserve">. </w:t>
      </w:r>
      <w:r w:rsidR="00257D39" w:rsidRPr="00257D39">
        <w:rPr>
          <w:rFonts w:ascii="Arial" w:hAnsi="Arial"/>
          <w:sz w:val="24"/>
          <w:szCs w:val="24"/>
          <w:lang w:val="es-US"/>
        </w:rPr>
        <w:t>Especialista de 1er grado en MGI y 2do grado e</w:t>
      </w:r>
      <w:r w:rsidR="00257D39">
        <w:rPr>
          <w:rFonts w:ascii="Arial" w:hAnsi="Arial"/>
          <w:sz w:val="24"/>
          <w:szCs w:val="24"/>
          <w:lang w:val="es-US"/>
        </w:rPr>
        <w:t xml:space="preserve">n Oncología. </w:t>
      </w:r>
      <w:r w:rsidR="00257D39" w:rsidRPr="00257D39">
        <w:rPr>
          <w:rFonts w:ascii="Arial" w:hAnsi="Arial"/>
          <w:sz w:val="24"/>
          <w:szCs w:val="24"/>
          <w:lang w:val="es-US"/>
        </w:rPr>
        <w:t>Profesora</w:t>
      </w:r>
      <w:r w:rsidR="00257D39">
        <w:rPr>
          <w:rFonts w:ascii="Arial" w:hAnsi="Arial"/>
          <w:sz w:val="24"/>
          <w:szCs w:val="24"/>
          <w:lang w:val="es-US"/>
        </w:rPr>
        <w:t xml:space="preserve"> auxiliar. Máster en Medios Diagnósticos.</w:t>
      </w:r>
    </w:p>
    <w:p w14:paraId="41DC6EE8" w14:textId="1345D770" w:rsidR="00A309F6" w:rsidRPr="007A1764" w:rsidRDefault="00A309F6" w:rsidP="007A1764">
      <w:pPr>
        <w:spacing w:line="360" w:lineRule="auto"/>
        <w:rPr>
          <w:rFonts w:ascii="Arial" w:hAnsi="Arial"/>
          <w:sz w:val="24"/>
          <w:szCs w:val="24"/>
          <w:lang w:val="es-US"/>
        </w:rPr>
      </w:pPr>
      <w:r w:rsidRPr="007A1764">
        <w:rPr>
          <w:rFonts w:ascii="Arial" w:hAnsi="Arial"/>
          <w:sz w:val="24"/>
          <w:szCs w:val="24"/>
          <w:lang w:val="es-US"/>
        </w:rPr>
        <w:t>Álvaro Pérez Arencibia</w:t>
      </w:r>
      <w:r w:rsidR="007A1764" w:rsidRPr="007A1764">
        <w:rPr>
          <w:rFonts w:ascii="Arial" w:hAnsi="Arial"/>
          <w:sz w:val="24"/>
          <w:szCs w:val="24"/>
          <w:vertAlign w:val="superscript"/>
          <w:lang w:val="es-US"/>
        </w:rPr>
        <w:t>1</w:t>
      </w:r>
      <w:r w:rsidR="007A1764" w:rsidRPr="007A1764">
        <w:rPr>
          <w:rFonts w:ascii="Arial" w:hAnsi="Arial"/>
          <w:noProof/>
          <w:sz w:val="24"/>
          <w:szCs w:val="24"/>
          <w:lang w:val="es-ES" w:eastAsia="es-ES"/>
        </w:rPr>
        <w:drawing>
          <wp:inline distT="0" distB="0" distL="0" distR="0" wp14:anchorId="674B7124" wp14:editId="544065EB">
            <wp:extent cx="208280" cy="205638"/>
            <wp:effectExtent l="0" t="0" r="127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42" cy="272836"/>
                    </a:xfrm>
                    <a:prstGeom prst="rect">
                      <a:avLst/>
                    </a:prstGeom>
                    <a:noFill/>
                    <a:ln>
                      <a:noFill/>
                    </a:ln>
                  </pic:spPr>
                </pic:pic>
              </a:graphicData>
            </a:graphic>
          </wp:inline>
        </w:drawing>
      </w:r>
      <w:hyperlink r:id="rId12" w:history="1">
        <w:r w:rsidR="007A1764" w:rsidRPr="007A1764">
          <w:rPr>
            <w:rStyle w:val="Hipervnculo"/>
            <w:rFonts w:ascii="Arial" w:hAnsi="Arial"/>
            <w:sz w:val="24"/>
            <w:szCs w:val="24"/>
            <w:lang w:val="es-US"/>
          </w:rPr>
          <w:t>http://orcid.org/0000-0002-1127-4598</w:t>
        </w:r>
      </w:hyperlink>
      <w:r w:rsidR="007A1764" w:rsidRPr="007A1764">
        <w:rPr>
          <w:rFonts w:ascii="Arial" w:hAnsi="Arial"/>
          <w:sz w:val="24"/>
          <w:szCs w:val="24"/>
          <w:lang w:val="es-US"/>
        </w:rPr>
        <w:t xml:space="preserve">, </w:t>
      </w:r>
      <w:hyperlink r:id="rId13" w:history="1">
        <w:r w:rsidR="007A1764" w:rsidRPr="007A1764">
          <w:rPr>
            <w:rStyle w:val="Hipervnculo"/>
            <w:rFonts w:ascii="Arial" w:hAnsi="Arial"/>
            <w:sz w:val="24"/>
            <w:szCs w:val="24"/>
            <w:lang w:val="es-US"/>
          </w:rPr>
          <w:t>oncologia1992@gmail.com</w:t>
        </w:r>
      </w:hyperlink>
      <w:r w:rsidR="007A1764" w:rsidRPr="007A1764">
        <w:rPr>
          <w:rFonts w:ascii="Arial" w:hAnsi="Arial"/>
          <w:sz w:val="24"/>
          <w:szCs w:val="24"/>
          <w:lang w:val="es-US"/>
        </w:rPr>
        <w:t xml:space="preserve">, </w:t>
      </w:r>
      <w:r w:rsidR="007A1764" w:rsidRPr="007A1764">
        <w:rPr>
          <w:rFonts w:ascii="Arial" w:hAnsi="Arial"/>
          <w:sz w:val="24"/>
          <w:szCs w:val="24"/>
          <w:lang w:val="es-US"/>
        </w:rPr>
        <w:t>+53 52562277</w:t>
      </w:r>
      <w:r w:rsidR="00257D39">
        <w:rPr>
          <w:rFonts w:ascii="Arial" w:hAnsi="Arial"/>
          <w:sz w:val="24"/>
          <w:szCs w:val="24"/>
          <w:lang w:val="es-US"/>
        </w:rPr>
        <w:t xml:space="preserve">. </w:t>
      </w:r>
      <w:r w:rsidR="00257D39">
        <w:rPr>
          <w:rFonts w:ascii="Arial" w:hAnsi="Arial"/>
          <w:sz w:val="24"/>
          <w:szCs w:val="24"/>
          <w:lang w:val="es-US"/>
        </w:rPr>
        <w:t xml:space="preserve">Especialista de 1er grado en Oncología Médica. </w:t>
      </w:r>
    </w:p>
    <w:p w14:paraId="15BE42CF" w14:textId="1DCC3AE4" w:rsidR="00A309F6" w:rsidRPr="00257D39" w:rsidRDefault="00A309F6" w:rsidP="007A1764">
      <w:pPr>
        <w:spacing w:line="360" w:lineRule="auto"/>
        <w:rPr>
          <w:rFonts w:ascii="Arial" w:hAnsi="Arial"/>
          <w:sz w:val="24"/>
          <w:szCs w:val="24"/>
          <w:lang w:val="es-US"/>
        </w:rPr>
      </w:pPr>
      <w:proofErr w:type="spellStart"/>
      <w:r w:rsidRPr="00257D39">
        <w:rPr>
          <w:rFonts w:ascii="Arial" w:hAnsi="Arial"/>
          <w:sz w:val="24"/>
          <w:szCs w:val="24"/>
          <w:lang w:val="es-US"/>
        </w:rPr>
        <w:t>Edadny</w:t>
      </w:r>
      <w:proofErr w:type="spellEnd"/>
      <w:r w:rsidRPr="00257D39">
        <w:rPr>
          <w:rFonts w:ascii="Arial" w:hAnsi="Arial"/>
          <w:sz w:val="24"/>
          <w:szCs w:val="24"/>
          <w:lang w:val="es-US"/>
        </w:rPr>
        <w:t xml:space="preserve"> </w:t>
      </w:r>
      <w:r w:rsidRPr="00257D39">
        <w:rPr>
          <w:rFonts w:ascii="Arial" w:hAnsi="Arial"/>
          <w:sz w:val="24"/>
          <w:szCs w:val="24"/>
          <w:lang w:val="es-US"/>
        </w:rPr>
        <w:t>Medina Carabeo</w:t>
      </w:r>
      <w:r w:rsidR="007A1764" w:rsidRPr="00257D39">
        <w:rPr>
          <w:rFonts w:ascii="Arial" w:hAnsi="Arial"/>
          <w:sz w:val="24"/>
          <w:szCs w:val="24"/>
          <w:vertAlign w:val="superscript"/>
          <w:lang w:val="es-US"/>
        </w:rPr>
        <w:t>1</w:t>
      </w:r>
      <w:r w:rsidR="007A1764" w:rsidRPr="007A1764">
        <w:rPr>
          <w:rFonts w:ascii="Arial" w:hAnsi="Arial"/>
          <w:noProof/>
          <w:sz w:val="24"/>
          <w:szCs w:val="24"/>
          <w:lang w:val="es-ES" w:eastAsia="es-ES"/>
        </w:rPr>
        <w:drawing>
          <wp:inline distT="0" distB="0" distL="0" distR="0" wp14:anchorId="29232F73" wp14:editId="45E0058D">
            <wp:extent cx="208280" cy="205638"/>
            <wp:effectExtent l="0" t="0" r="127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42" cy="272836"/>
                    </a:xfrm>
                    <a:prstGeom prst="rect">
                      <a:avLst/>
                    </a:prstGeom>
                    <a:noFill/>
                    <a:ln>
                      <a:noFill/>
                    </a:ln>
                  </pic:spPr>
                </pic:pic>
              </a:graphicData>
            </a:graphic>
          </wp:inline>
        </w:drawing>
      </w:r>
      <w:hyperlink r:id="rId14" w:history="1">
        <w:r w:rsidR="007A1764" w:rsidRPr="00257D39">
          <w:rPr>
            <w:rStyle w:val="Hipervnculo"/>
            <w:rFonts w:ascii="Arial" w:hAnsi="Arial"/>
            <w:sz w:val="24"/>
            <w:szCs w:val="24"/>
            <w:lang w:val="es-US"/>
          </w:rPr>
          <w:t>https://orcid.org/0000-0002-8519-6529</w:t>
        </w:r>
      </w:hyperlink>
      <w:r w:rsidR="007A1764" w:rsidRPr="00257D39">
        <w:rPr>
          <w:rFonts w:ascii="Arial" w:hAnsi="Arial"/>
          <w:sz w:val="24"/>
          <w:szCs w:val="24"/>
          <w:lang w:val="es-US"/>
        </w:rPr>
        <w:t xml:space="preserve">, </w:t>
      </w:r>
      <w:hyperlink r:id="rId15" w:history="1">
        <w:r w:rsidR="007A1764" w:rsidRPr="00257D39">
          <w:rPr>
            <w:rStyle w:val="Hipervnculo"/>
            <w:rFonts w:ascii="Arial" w:hAnsi="Arial"/>
            <w:sz w:val="24"/>
            <w:szCs w:val="24"/>
            <w:lang w:val="es-US"/>
          </w:rPr>
          <w:t>edadny.mtz@infomed.sld.cu</w:t>
        </w:r>
      </w:hyperlink>
      <w:r w:rsidR="007A1764" w:rsidRPr="00257D39">
        <w:rPr>
          <w:rFonts w:ascii="Arial" w:hAnsi="Arial"/>
          <w:sz w:val="24"/>
          <w:szCs w:val="24"/>
          <w:lang w:val="es-US"/>
        </w:rPr>
        <w:t xml:space="preserve">, </w:t>
      </w:r>
      <w:r w:rsidR="007A1764" w:rsidRPr="00257D39">
        <w:rPr>
          <w:rFonts w:ascii="Arial" w:hAnsi="Arial"/>
          <w:sz w:val="24"/>
          <w:szCs w:val="24"/>
          <w:lang w:val="es-US"/>
        </w:rPr>
        <w:t>+53 54450352</w:t>
      </w:r>
      <w:r w:rsidR="00257D39" w:rsidRPr="00257D39">
        <w:rPr>
          <w:rFonts w:ascii="Arial" w:hAnsi="Arial"/>
          <w:sz w:val="24"/>
          <w:szCs w:val="24"/>
          <w:lang w:val="es-US"/>
        </w:rPr>
        <w:t xml:space="preserve">. </w:t>
      </w:r>
      <w:r w:rsidR="00257D39" w:rsidRPr="00257D39">
        <w:rPr>
          <w:rFonts w:ascii="Arial" w:hAnsi="Arial"/>
          <w:sz w:val="24"/>
          <w:szCs w:val="24"/>
          <w:lang w:val="es-US"/>
        </w:rPr>
        <w:t>Profesora</w:t>
      </w:r>
      <w:r w:rsidR="00257D39">
        <w:rPr>
          <w:rFonts w:ascii="Arial" w:hAnsi="Arial"/>
          <w:sz w:val="24"/>
          <w:szCs w:val="24"/>
          <w:lang w:val="es-US"/>
        </w:rPr>
        <w:t xml:space="preserve"> auxiliar. Máster en Medios Diagnósticos.</w:t>
      </w:r>
      <w:r w:rsidR="00257D39">
        <w:rPr>
          <w:rFonts w:ascii="Arial" w:hAnsi="Arial"/>
          <w:sz w:val="24"/>
          <w:szCs w:val="24"/>
          <w:lang w:val="es-US"/>
        </w:rPr>
        <w:t xml:space="preserve"> </w:t>
      </w:r>
      <w:r w:rsidR="00257D39">
        <w:rPr>
          <w:rFonts w:ascii="Arial" w:hAnsi="Arial"/>
          <w:sz w:val="24"/>
          <w:szCs w:val="24"/>
          <w:lang w:val="es-US"/>
        </w:rPr>
        <w:t xml:space="preserve">Especialista de 1er grado en Oncología Médica. </w:t>
      </w:r>
    </w:p>
    <w:p w14:paraId="1715FA57" w14:textId="77777777" w:rsidR="00540B1E" w:rsidRPr="00C44284" w:rsidRDefault="00540B1E" w:rsidP="00C44284">
      <w:pPr>
        <w:pStyle w:val="Prrafodelista"/>
        <w:numPr>
          <w:ilvl w:val="0"/>
          <w:numId w:val="3"/>
        </w:numPr>
        <w:spacing w:line="360" w:lineRule="auto"/>
        <w:jc w:val="both"/>
        <w:rPr>
          <w:rFonts w:ascii="Arial" w:hAnsi="Arial"/>
          <w:sz w:val="24"/>
          <w:szCs w:val="24"/>
          <w:lang w:val="es-US"/>
        </w:rPr>
      </w:pPr>
      <w:r w:rsidRPr="00C44284">
        <w:rPr>
          <w:rFonts w:ascii="Arial" w:hAnsi="Arial"/>
          <w:sz w:val="24"/>
          <w:szCs w:val="24"/>
          <w:lang w:val="es-US"/>
        </w:rPr>
        <w:t>Hospital Provincial Clínico Quirúrgico Docente “Faustino Pérez”, Matanzas, Cuba.</w:t>
      </w:r>
    </w:p>
    <w:p w14:paraId="41319F31" w14:textId="77777777" w:rsidR="00540B1E" w:rsidRPr="00BE2529" w:rsidRDefault="00540B1E" w:rsidP="00BE2529">
      <w:pPr>
        <w:spacing w:line="360" w:lineRule="auto"/>
        <w:jc w:val="both"/>
        <w:rPr>
          <w:rFonts w:ascii="Arial" w:hAnsi="Arial"/>
          <w:sz w:val="24"/>
          <w:szCs w:val="24"/>
          <w:lang w:val="es-US"/>
        </w:rPr>
      </w:pPr>
      <w:r w:rsidRPr="00C44284">
        <w:rPr>
          <w:rFonts w:ascii="Arial" w:hAnsi="Arial"/>
          <w:sz w:val="24"/>
          <w:szCs w:val="24"/>
          <w:vertAlign w:val="superscript"/>
          <w:lang w:val="es-US"/>
        </w:rPr>
        <w:t>*</w:t>
      </w:r>
      <w:r w:rsidRPr="00BE2529">
        <w:rPr>
          <w:rFonts w:ascii="Arial" w:hAnsi="Arial"/>
          <w:sz w:val="24"/>
          <w:szCs w:val="24"/>
          <w:lang w:val="es-US"/>
        </w:rPr>
        <w:t>Autor para la correspondencia</w:t>
      </w:r>
      <w:r w:rsidR="00B34F32">
        <w:rPr>
          <w:rFonts w:ascii="Arial" w:hAnsi="Arial"/>
          <w:sz w:val="24"/>
          <w:szCs w:val="24"/>
          <w:lang w:val="es-US"/>
        </w:rPr>
        <w:t>.</w:t>
      </w:r>
    </w:p>
    <w:p w14:paraId="27B4EE7F" w14:textId="77777777" w:rsidR="00540B1E" w:rsidRPr="00C44284" w:rsidRDefault="00540B1E" w:rsidP="00BE2529">
      <w:pPr>
        <w:spacing w:line="360" w:lineRule="auto"/>
        <w:jc w:val="both"/>
        <w:rPr>
          <w:rFonts w:ascii="Arial" w:hAnsi="Arial"/>
          <w:b/>
          <w:bCs/>
          <w:sz w:val="24"/>
          <w:szCs w:val="24"/>
          <w:lang w:val="es-US"/>
        </w:rPr>
      </w:pPr>
      <w:r w:rsidRPr="00C44284">
        <w:rPr>
          <w:rFonts w:ascii="Arial" w:hAnsi="Arial"/>
          <w:b/>
          <w:bCs/>
          <w:sz w:val="24"/>
          <w:szCs w:val="24"/>
          <w:lang w:val="es-US"/>
        </w:rPr>
        <w:t>Resumen</w:t>
      </w:r>
    </w:p>
    <w:p w14:paraId="632E53DA" w14:textId="6314480D" w:rsidR="00540B1E" w:rsidRPr="00BE2529" w:rsidRDefault="008D3408" w:rsidP="00BE2529">
      <w:pPr>
        <w:spacing w:line="360" w:lineRule="auto"/>
        <w:jc w:val="both"/>
        <w:rPr>
          <w:rFonts w:ascii="Arial" w:hAnsi="Arial"/>
          <w:sz w:val="24"/>
          <w:szCs w:val="24"/>
          <w:lang w:val="es-US"/>
        </w:rPr>
      </w:pPr>
      <w:r w:rsidRPr="00390962">
        <w:rPr>
          <w:rFonts w:ascii="Arial" w:hAnsi="Arial"/>
          <w:b/>
          <w:bCs/>
          <w:sz w:val="24"/>
          <w:szCs w:val="24"/>
          <w:lang w:val="es-US"/>
        </w:rPr>
        <w:t>Introducción:</w:t>
      </w:r>
      <w:r w:rsidRPr="008D3408">
        <w:rPr>
          <w:rFonts w:ascii="Arial" w:hAnsi="Arial"/>
          <w:sz w:val="24"/>
          <w:szCs w:val="24"/>
          <w:lang w:val="es-US"/>
        </w:rPr>
        <w:t xml:space="preserve"> </w:t>
      </w:r>
      <w:r w:rsidR="00390962">
        <w:rPr>
          <w:rFonts w:ascii="Arial" w:hAnsi="Arial"/>
          <w:sz w:val="24"/>
          <w:szCs w:val="24"/>
          <w:lang w:val="es-US"/>
        </w:rPr>
        <w:t>e</w:t>
      </w:r>
      <w:r w:rsidRPr="008D3408">
        <w:rPr>
          <w:rFonts w:ascii="Arial" w:hAnsi="Arial"/>
          <w:sz w:val="24"/>
          <w:szCs w:val="24"/>
          <w:lang w:val="es-US"/>
        </w:rPr>
        <w:t xml:space="preserve">l cáncer de mama constituye un problema de salud por su elevada incidencia y mortalidad. La inmunohistoquímica es una técnica que permite un tratamiento </w:t>
      </w:r>
      <w:r w:rsidR="00390962">
        <w:rPr>
          <w:rFonts w:ascii="Arial" w:hAnsi="Arial"/>
          <w:sz w:val="24"/>
          <w:szCs w:val="24"/>
          <w:lang w:val="es-US"/>
        </w:rPr>
        <w:t>de precisión</w:t>
      </w:r>
      <w:r w:rsidR="00540B1E" w:rsidRPr="008D3408">
        <w:rPr>
          <w:rFonts w:ascii="Arial" w:hAnsi="Arial"/>
          <w:sz w:val="24"/>
          <w:szCs w:val="24"/>
          <w:lang w:val="es-US"/>
        </w:rPr>
        <w:t>,</w:t>
      </w:r>
      <w:r w:rsidR="00540B1E" w:rsidRPr="00BE2529">
        <w:rPr>
          <w:rFonts w:ascii="Arial" w:hAnsi="Arial"/>
          <w:sz w:val="24"/>
          <w:szCs w:val="24"/>
          <w:lang w:val="es-US"/>
        </w:rPr>
        <w:t xml:space="preserve"> pero resulta costosa y la provincia de Matanzas </w:t>
      </w:r>
      <w:r w:rsidR="00587A06">
        <w:rPr>
          <w:rFonts w:ascii="Arial" w:hAnsi="Arial"/>
          <w:sz w:val="24"/>
          <w:szCs w:val="24"/>
          <w:lang w:val="es-US"/>
        </w:rPr>
        <w:t>no dispone del equipamiento necesario para su realización.</w:t>
      </w:r>
      <w:r w:rsidR="00540B1E" w:rsidRPr="00BE2529">
        <w:rPr>
          <w:rFonts w:ascii="Arial" w:hAnsi="Arial"/>
          <w:sz w:val="24"/>
          <w:szCs w:val="24"/>
          <w:lang w:val="es-US"/>
        </w:rPr>
        <w:t xml:space="preserve"> Se conoce que los </w:t>
      </w:r>
      <w:r w:rsidR="00540B1E" w:rsidRPr="00BE2529">
        <w:rPr>
          <w:rFonts w:ascii="Arial" w:hAnsi="Arial"/>
          <w:sz w:val="24"/>
          <w:szCs w:val="24"/>
          <w:lang w:val="es-US"/>
        </w:rPr>
        <w:lastRenderedPageBreak/>
        <w:t xml:space="preserve">pacientes con cáncer de mama tipo Luminal A </w:t>
      </w:r>
      <w:r w:rsidR="00390962">
        <w:rPr>
          <w:rFonts w:ascii="Arial" w:hAnsi="Arial"/>
          <w:sz w:val="24"/>
          <w:szCs w:val="24"/>
          <w:lang w:val="es-US"/>
        </w:rPr>
        <w:t xml:space="preserve">en etapas tempranas </w:t>
      </w:r>
      <w:r w:rsidR="00540B1E" w:rsidRPr="00BE2529">
        <w:rPr>
          <w:rFonts w:ascii="Arial" w:hAnsi="Arial"/>
          <w:sz w:val="24"/>
          <w:szCs w:val="24"/>
          <w:lang w:val="es-US"/>
        </w:rPr>
        <w:t>no se benefician del uso de quimioterapia, debido a esto algunos pacientes son sobre- tratados, determinando impacto material importante.</w:t>
      </w:r>
      <w:r w:rsidR="00420B51">
        <w:rPr>
          <w:rFonts w:ascii="Arial" w:hAnsi="Arial"/>
          <w:sz w:val="24"/>
          <w:szCs w:val="24"/>
          <w:lang w:val="es-US"/>
        </w:rPr>
        <w:t xml:space="preserve"> </w:t>
      </w:r>
      <w:r w:rsidR="00540B1E" w:rsidRPr="00BE2529">
        <w:rPr>
          <w:rFonts w:ascii="Arial" w:hAnsi="Arial"/>
          <w:b/>
          <w:bCs/>
          <w:sz w:val="24"/>
          <w:szCs w:val="24"/>
          <w:lang w:val="es-US"/>
        </w:rPr>
        <w:t>Objetivo:</w:t>
      </w:r>
      <w:r w:rsidR="00540B1E" w:rsidRPr="00BE2529">
        <w:rPr>
          <w:rFonts w:ascii="Arial" w:hAnsi="Arial"/>
          <w:sz w:val="24"/>
          <w:szCs w:val="24"/>
          <w:lang w:val="es-US"/>
        </w:rPr>
        <w:t xml:space="preserve"> </w:t>
      </w:r>
      <w:r w:rsidR="00E571E8">
        <w:rPr>
          <w:rFonts w:ascii="Arial" w:hAnsi="Arial"/>
          <w:sz w:val="24"/>
          <w:szCs w:val="24"/>
          <w:lang w:val="es-US"/>
        </w:rPr>
        <w:t>i</w:t>
      </w:r>
      <w:r w:rsidR="00540B1E" w:rsidRPr="00BE2529">
        <w:rPr>
          <w:rFonts w:ascii="Arial" w:hAnsi="Arial"/>
          <w:sz w:val="24"/>
          <w:szCs w:val="24"/>
          <w:lang w:val="es-US"/>
        </w:rPr>
        <w:t>dentificar el impacto material al Sistema Nacional de Salud por el retraso en la obtención de los resultados de técnica de inmunohistoquímica en el Servicio Oncológico Provincial de Matanzas.</w:t>
      </w:r>
      <w:r w:rsidR="00CF7601">
        <w:rPr>
          <w:rFonts w:ascii="Arial" w:hAnsi="Arial"/>
          <w:sz w:val="24"/>
          <w:szCs w:val="24"/>
          <w:lang w:val="es-US"/>
        </w:rPr>
        <w:t xml:space="preserve"> </w:t>
      </w:r>
      <w:r w:rsidR="00540B1E" w:rsidRPr="00BE2529">
        <w:rPr>
          <w:rFonts w:ascii="Arial" w:hAnsi="Arial"/>
          <w:b/>
          <w:bCs/>
          <w:sz w:val="24"/>
          <w:szCs w:val="24"/>
          <w:lang w:val="es-US"/>
        </w:rPr>
        <w:t>Métodos:</w:t>
      </w:r>
      <w:r w:rsidR="00540B1E" w:rsidRPr="00BE2529">
        <w:rPr>
          <w:rFonts w:ascii="Arial" w:hAnsi="Arial"/>
          <w:sz w:val="24"/>
          <w:szCs w:val="24"/>
          <w:lang w:val="es-US"/>
        </w:rPr>
        <w:t xml:space="preserve"> </w:t>
      </w:r>
      <w:r w:rsidR="00E571E8">
        <w:rPr>
          <w:rFonts w:ascii="Arial" w:hAnsi="Arial"/>
          <w:sz w:val="24"/>
          <w:szCs w:val="24"/>
          <w:lang w:val="es-US"/>
        </w:rPr>
        <w:t>s</w:t>
      </w:r>
      <w:r w:rsidR="00540B1E" w:rsidRPr="00BE2529">
        <w:rPr>
          <w:rFonts w:ascii="Arial" w:hAnsi="Arial"/>
          <w:sz w:val="24"/>
          <w:szCs w:val="24"/>
          <w:lang w:val="es-US"/>
        </w:rPr>
        <w:t xml:space="preserve">e realizó un estudio descriptivo, longitudinal y retrospectivo. </w:t>
      </w:r>
      <w:r w:rsidR="00540B1E" w:rsidRPr="00BE2529">
        <w:rPr>
          <w:rFonts w:ascii="Arial" w:hAnsi="Arial"/>
          <w:b/>
          <w:bCs/>
          <w:sz w:val="24"/>
          <w:szCs w:val="24"/>
          <w:lang w:val="es-US"/>
        </w:rPr>
        <w:t>Resultados:</w:t>
      </w:r>
      <w:r w:rsidR="00CF7601">
        <w:rPr>
          <w:rFonts w:ascii="Arial" w:hAnsi="Arial"/>
          <w:b/>
          <w:bCs/>
          <w:sz w:val="24"/>
          <w:szCs w:val="24"/>
          <w:lang w:val="es-US"/>
        </w:rPr>
        <w:t xml:space="preserve"> </w:t>
      </w:r>
      <w:r w:rsidR="00E571E8">
        <w:rPr>
          <w:rFonts w:ascii="Arial" w:hAnsi="Arial"/>
          <w:sz w:val="24"/>
          <w:szCs w:val="24"/>
          <w:lang w:val="es-US"/>
        </w:rPr>
        <w:t>d</w:t>
      </w:r>
      <w:r w:rsidR="00540B1E" w:rsidRPr="00BE2529">
        <w:rPr>
          <w:rFonts w:ascii="Arial" w:hAnsi="Arial"/>
          <w:sz w:val="24"/>
          <w:szCs w:val="24"/>
          <w:lang w:val="es-US"/>
        </w:rPr>
        <w:t xml:space="preserve">e la población estudiada </w:t>
      </w:r>
      <w:r w:rsidR="001F241F">
        <w:rPr>
          <w:rFonts w:ascii="Arial" w:hAnsi="Arial"/>
          <w:sz w:val="24"/>
          <w:szCs w:val="24"/>
          <w:lang w:val="es-US"/>
        </w:rPr>
        <w:t>la quinta parte</w:t>
      </w:r>
      <w:r w:rsidR="00540B1E" w:rsidRPr="00BE2529">
        <w:rPr>
          <w:rFonts w:ascii="Arial" w:hAnsi="Arial"/>
          <w:sz w:val="24"/>
          <w:szCs w:val="24"/>
          <w:lang w:val="es-US"/>
        </w:rPr>
        <w:t xml:space="preserve"> fue Luminal A, y de estos </w:t>
      </w:r>
      <w:r w:rsidR="001F241F">
        <w:rPr>
          <w:rFonts w:ascii="Arial" w:hAnsi="Arial"/>
          <w:sz w:val="24"/>
          <w:szCs w:val="24"/>
          <w:lang w:val="es-US"/>
        </w:rPr>
        <w:t>las dos terceras partes</w:t>
      </w:r>
      <w:r w:rsidR="00540B1E" w:rsidRPr="00BE2529">
        <w:rPr>
          <w:rFonts w:ascii="Arial" w:hAnsi="Arial"/>
          <w:sz w:val="24"/>
          <w:szCs w:val="24"/>
          <w:lang w:val="es-US"/>
        </w:rPr>
        <w:t xml:space="preserve"> no recibió tratamiento </w:t>
      </w:r>
      <w:r w:rsidR="00E571E8">
        <w:rPr>
          <w:rFonts w:ascii="Arial" w:hAnsi="Arial"/>
          <w:sz w:val="24"/>
          <w:szCs w:val="24"/>
          <w:lang w:val="es-US"/>
        </w:rPr>
        <w:t>hormonal</w:t>
      </w:r>
      <w:r w:rsidR="00540B1E" w:rsidRPr="00BE2529">
        <w:rPr>
          <w:rFonts w:ascii="Arial" w:hAnsi="Arial"/>
          <w:sz w:val="24"/>
          <w:szCs w:val="24"/>
          <w:lang w:val="es-US"/>
        </w:rPr>
        <w:t xml:space="preserve">, </w:t>
      </w:r>
      <w:r w:rsidR="00587A06">
        <w:rPr>
          <w:rFonts w:ascii="Arial" w:hAnsi="Arial"/>
          <w:sz w:val="24"/>
          <w:szCs w:val="24"/>
          <w:lang w:val="es-US"/>
        </w:rPr>
        <w:t>con predominio</w:t>
      </w:r>
      <w:r w:rsidR="00540B1E" w:rsidRPr="00BE2529">
        <w:rPr>
          <w:rFonts w:ascii="Arial" w:hAnsi="Arial"/>
          <w:sz w:val="24"/>
          <w:szCs w:val="24"/>
          <w:lang w:val="es-US"/>
        </w:rPr>
        <w:t xml:space="preserve"> entre </w:t>
      </w:r>
      <w:r w:rsidR="00587A06">
        <w:rPr>
          <w:rFonts w:ascii="Arial" w:hAnsi="Arial"/>
          <w:sz w:val="24"/>
          <w:szCs w:val="24"/>
          <w:lang w:val="es-US"/>
        </w:rPr>
        <w:t xml:space="preserve">la sexta y séptima década de vida. </w:t>
      </w:r>
      <w:r w:rsidR="00540B1E" w:rsidRPr="00BE2529">
        <w:rPr>
          <w:rFonts w:ascii="Arial" w:hAnsi="Arial"/>
          <w:sz w:val="24"/>
          <w:szCs w:val="24"/>
          <w:lang w:val="es-US"/>
        </w:rPr>
        <w:t xml:space="preserve">El tiempo entre la toma de muestra y la obtención del resultado de inmunohistoquímica fue en la mayor parte de los casos desconocido y </w:t>
      </w:r>
      <w:r w:rsidR="008932D9">
        <w:rPr>
          <w:rFonts w:ascii="Arial" w:hAnsi="Arial"/>
          <w:sz w:val="24"/>
          <w:szCs w:val="24"/>
          <w:lang w:val="es-US"/>
        </w:rPr>
        <w:t>el impacto</w:t>
      </w:r>
      <w:r w:rsidR="00540B1E" w:rsidRPr="00BE2529">
        <w:rPr>
          <w:rFonts w:ascii="Arial" w:hAnsi="Arial"/>
          <w:sz w:val="24"/>
          <w:szCs w:val="24"/>
          <w:lang w:val="es-US"/>
        </w:rPr>
        <w:t xml:space="preserve"> material elevado</w:t>
      </w:r>
      <w:r w:rsidR="009408BD" w:rsidRPr="00BE2529">
        <w:rPr>
          <w:rFonts w:ascii="Arial" w:hAnsi="Arial"/>
          <w:sz w:val="24"/>
          <w:szCs w:val="24"/>
          <w:lang w:val="es-US"/>
        </w:rPr>
        <w:t xml:space="preserve">. </w:t>
      </w:r>
      <w:r w:rsidR="00540B1E" w:rsidRPr="00BE2529">
        <w:rPr>
          <w:rFonts w:ascii="Arial" w:hAnsi="Arial"/>
          <w:b/>
          <w:bCs/>
          <w:sz w:val="24"/>
          <w:szCs w:val="24"/>
          <w:lang w:val="es-US"/>
        </w:rPr>
        <w:t>Conclusiones:</w:t>
      </w:r>
      <w:r w:rsidR="009408BD" w:rsidRPr="00BE2529">
        <w:rPr>
          <w:rFonts w:ascii="Arial" w:hAnsi="Arial"/>
          <w:sz w:val="24"/>
          <w:szCs w:val="24"/>
          <w:lang w:val="es-US"/>
        </w:rPr>
        <w:t xml:space="preserve"> </w:t>
      </w:r>
      <w:r w:rsidR="00E571E8">
        <w:rPr>
          <w:rFonts w:ascii="Arial" w:hAnsi="Arial"/>
          <w:sz w:val="24"/>
          <w:szCs w:val="24"/>
          <w:lang w:val="es-US"/>
        </w:rPr>
        <w:t>e</w:t>
      </w:r>
      <w:r w:rsidR="009408BD" w:rsidRPr="00BE2529">
        <w:rPr>
          <w:rFonts w:ascii="Arial" w:hAnsi="Arial"/>
          <w:sz w:val="24"/>
          <w:szCs w:val="24"/>
          <w:lang w:val="es-US"/>
        </w:rPr>
        <w:t>l retraso en la obtención de los resultados de técnica de inmunohistoquímica represent</w:t>
      </w:r>
      <w:r w:rsidR="00E571E8">
        <w:rPr>
          <w:rFonts w:ascii="Arial" w:hAnsi="Arial"/>
          <w:sz w:val="24"/>
          <w:szCs w:val="24"/>
          <w:lang w:val="es-US"/>
        </w:rPr>
        <w:t>a</w:t>
      </w:r>
      <w:r w:rsidR="009408BD" w:rsidRPr="00BE2529">
        <w:rPr>
          <w:rFonts w:ascii="Arial" w:hAnsi="Arial"/>
          <w:sz w:val="24"/>
          <w:szCs w:val="24"/>
          <w:lang w:val="es-US"/>
        </w:rPr>
        <w:t xml:space="preserve"> un </w:t>
      </w:r>
      <w:r w:rsidR="00E571E8">
        <w:rPr>
          <w:rFonts w:ascii="Arial" w:hAnsi="Arial"/>
          <w:sz w:val="24"/>
          <w:szCs w:val="24"/>
          <w:lang w:val="es-US"/>
        </w:rPr>
        <w:t>gasto excesivo de recursos</w:t>
      </w:r>
      <w:r w:rsidR="009408BD" w:rsidRPr="00BE2529">
        <w:rPr>
          <w:rFonts w:ascii="Arial" w:hAnsi="Arial"/>
          <w:sz w:val="24"/>
          <w:szCs w:val="24"/>
          <w:lang w:val="es-US"/>
        </w:rPr>
        <w:t xml:space="preserve"> en el Centro Oncológico Provincial de Matanzas.</w:t>
      </w:r>
    </w:p>
    <w:p w14:paraId="0353CA9C" w14:textId="04A44BE4" w:rsidR="00540B1E" w:rsidRPr="00BE2529" w:rsidRDefault="00540B1E" w:rsidP="00BE2529">
      <w:pPr>
        <w:spacing w:line="360" w:lineRule="auto"/>
        <w:jc w:val="both"/>
        <w:rPr>
          <w:rFonts w:ascii="Arial" w:hAnsi="Arial"/>
          <w:sz w:val="24"/>
          <w:szCs w:val="24"/>
          <w:lang w:val="es-US"/>
        </w:rPr>
      </w:pPr>
      <w:r w:rsidRPr="00BE2529">
        <w:rPr>
          <w:rFonts w:ascii="Arial" w:hAnsi="Arial"/>
          <w:b/>
          <w:bCs/>
          <w:sz w:val="24"/>
          <w:szCs w:val="24"/>
          <w:lang w:val="es-US"/>
        </w:rPr>
        <w:t>Palabras clave:</w:t>
      </w:r>
      <w:r w:rsidR="00CF7601">
        <w:rPr>
          <w:rFonts w:ascii="Arial" w:hAnsi="Arial"/>
          <w:b/>
          <w:bCs/>
          <w:sz w:val="24"/>
          <w:szCs w:val="24"/>
          <w:lang w:val="es-US"/>
        </w:rPr>
        <w:t xml:space="preserve"> </w:t>
      </w:r>
      <w:r w:rsidR="00E571E8">
        <w:rPr>
          <w:rFonts w:ascii="Arial" w:hAnsi="Arial"/>
          <w:sz w:val="24"/>
          <w:szCs w:val="24"/>
          <w:lang w:val="es-US"/>
        </w:rPr>
        <w:t>i</w:t>
      </w:r>
      <w:r w:rsidR="00B34F32">
        <w:rPr>
          <w:rFonts w:ascii="Arial" w:hAnsi="Arial"/>
          <w:sz w:val="24"/>
          <w:szCs w:val="24"/>
          <w:lang w:val="es-US"/>
        </w:rPr>
        <w:t>mpacto</w:t>
      </w:r>
      <w:r w:rsidR="00E571E8">
        <w:rPr>
          <w:rFonts w:ascii="Arial" w:hAnsi="Arial"/>
          <w:sz w:val="24"/>
          <w:szCs w:val="24"/>
          <w:lang w:val="es-US"/>
        </w:rPr>
        <w:t>;</w:t>
      </w:r>
      <w:r w:rsidR="00B34F32">
        <w:rPr>
          <w:rFonts w:ascii="Arial" w:hAnsi="Arial"/>
          <w:sz w:val="24"/>
          <w:szCs w:val="24"/>
          <w:lang w:val="es-US"/>
        </w:rPr>
        <w:t xml:space="preserve"> inmunohistoquímica</w:t>
      </w:r>
      <w:r w:rsidR="00E571E8">
        <w:rPr>
          <w:rFonts w:ascii="Arial" w:hAnsi="Arial"/>
          <w:sz w:val="24"/>
          <w:szCs w:val="24"/>
          <w:lang w:val="es-US"/>
        </w:rPr>
        <w:t>;</w:t>
      </w:r>
      <w:r w:rsidR="00B34F32">
        <w:rPr>
          <w:rFonts w:ascii="Arial" w:hAnsi="Arial"/>
          <w:sz w:val="24"/>
          <w:szCs w:val="24"/>
          <w:lang w:val="es-US"/>
        </w:rPr>
        <w:t xml:space="preserve"> cáncer de mama. </w:t>
      </w:r>
    </w:p>
    <w:p w14:paraId="4090722D" w14:textId="77777777" w:rsidR="00540B1E" w:rsidRPr="00587A06" w:rsidRDefault="00540B1E" w:rsidP="00BE2529">
      <w:pPr>
        <w:spacing w:line="360" w:lineRule="auto"/>
        <w:jc w:val="both"/>
        <w:rPr>
          <w:rFonts w:ascii="Arial" w:hAnsi="Arial"/>
          <w:b/>
          <w:bCs/>
          <w:sz w:val="24"/>
          <w:szCs w:val="24"/>
        </w:rPr>
      </w:pPr>
      <w:r w:rsidRPr="00587A06">
        <w:rPr>
          <w:rFonts w:ascii="Arial" w:hAnsi="Arial"/>
          <w:b/>
          <w:bCs/>
          <w:sz w:val="24"/>
          <w:szCs w:val="24"/>
        </w:rPr>
        <w:t>Abstract</w:t>
      </w:r>
    </w:p>
    <w:p w14:paraId="00790856" w14:textId="17CC7908" w:rsidR="00540B1E" w:rsidRPr="00B34F32" w:rsidRDefault="00540B1E" w:rsidP="00BE2529">
      <w:pPr>
        <w:spacing w:line="360" w:lineRule="auto"/>
        <w:jc w:val="both"/>
        <w:rPr>
          <w:rFonts w:ascii="Arial" w:hAnsi="Arial"/>
          <w:sz w:val="24"/>
          <w:szCs w:val="24"/>
        </w:rPr>
      </w:pPr>
      <w:r w:rsidRPr="00B34F32">
        <w:rPr>
          <w:rFonts w:ascii="Arial" w:hAnsi="Arial"/>
          <w:b/>
          <w:bCs/>
          <w:sz w:val="24"/>
          <w:szCs w:val="24"/>
        </w:rPr>
        <w:t>Introduction:</w:t>
      </w:r>
      <w:r w:rsidR="00CF7601">
        <w:rPr>
          <w:rFonts w:ascii="Arial" w:hAnsi="Arial"/>
          <w:b/>
          <w:bCs/>
          <w:sz w:val="24"/>
          <w:szCs w:val="24"/>
        </w:rPr>
        <w:t xml:space="preserve"> </w:t>
      </w:r>
      <w:r w:rsidR="00E571E8">
        <w:rPr>
          <w:rFonts w:ascii="Arial" w:hAnsi="Arial"/>
          <w:sz w:val="24"/>
          <w:szCs w:val="24"/>
        </w:rPr>
        <w:t>b</w:t>
      </w:r>
      <w:r w:rsidR="00587A06" w:rsidRPr="00587A06">
        <w:rPr>
          <w:rFonts w:ascii="Arial" w:hAnsi="Arial"/>
          <w:sz w:val="24"/>
          <w:szCs w:val="24"/>
        </w:rPr>
        <w:t xml:space="preserve">reast cancer is a health problem due to its high incidence and mortality. Immunohistochemistry is a technique that allows </w:t>
      </w:r>
      <w:r w:rsidR="00E571E8">
        <w:rPr>
          <w:rFonts w:ascii="Arial" w:hAnsi="Arial"/>
          <w:sz w:val="24"/>
          <w:szCs w:val="24"/>
        </w:rPr>
        <w:t>precise</w:t>
      </w:r>
      <w:r w:rsidR="00587A06" w:rsidRPr="00587A06">
        <w:rPr>
          <w:rFonts w:ascii="Arial" w:hAnsi="Arial"/>
          <w:sz w:val="24"/>
          <w:szCs w:val="24"/>
        </w:rPr>
        <w:t xml:space="preserve"> treatment, but it is expensive and the province of Matanzas does not have the necessary equipment for its performance. It is known that patients with Luminal A type breast cancer do not benefit from the use of chemotherapy, due to this some patients are over-treated, determining an important material impact.</w:t>
      </w:r>
      <w:r w:rsidR="00587A06">
        <w:rPr>
          <w:rFonts w:ascii="Arial" w:hAnsi="Arial"/>
          <w:sz w:val="24"/>
          <w:szCs w:val="24"/>
        </w:rPr>
        <w:t xml:space="preserve"> </w:t>
      </w:r>
      <w:r w:rsidRPr="00B34F32">
        <w:rPr>
          <w:rFonts w:ascii="Arial" w:hAnsi="Arial"/>
          <w:b/>
          <w:bCs/>
          <w:sz w:val="24"/>
          <w:szCs w:val="24"/>
        </w:rPr>
        <w:t>Objective:</w:t>
      </w:r>
      <w:r w:rsidR="00CF7601">
        <w:rPr>
          <w:rFonts w:ascii="Arial" w:hAnsi="Arial"/>
          <w:b/>
          <w:bCs/>
          <w:sz w:val="24"/>
          <w:szCs w:val="24"/>
        </w:rPr>
        <w:t xml:space="preserve"> </w:t>
      </w:r>
      <w:r w:rsidR="00E571E8">
        <w:rPr>
          <w:rFonts w:ascii="Arial" w:hAnsi="Arial"/>
          <w:sz w:val="24"/>
          <w:szCs w:val="24"/>
        </w:rPr>
        <w:t>t</w:t>
      </w:r>
      <w:r w:rsidR="00B34F32" w:rsidRPr="00B34F32">
        <w:rPr>
          <w:rFonts w:ascii="Arial" w:hAnsi="Arial"/>
          <w:sz w:val="24"/>
          <w:szCs w:val="24"/>
        </w:rPr>
        <w:t>o identify the material impact on the National Health System due to the delay in obtaining the results of the immunohistochemical technique at the Provincial Oncology Service of Matanzas.</w:t>
      </w:r>
      <w:r w:rsidR="00CF7601">
        <w:rPr>
          <w:rFonts w:ascii="Arial" w:hAnsi="Arial"/>
          <w:sz w:val="24"/>
          <w:szCs w:val="24"/>
        </w:rPr>
        <w:t xml:space="preserve"> </w:t>
      </w:r>
      <w:r w:rsidRPr="00B34F32">
        <w:rPr>
          <w:rFonts w:ascii="Arial" w:hAnsi="Arial"/>
          <w:b/>
          <w:bCs/>
          <w:sz w:val="24"/>
          <w:szCs w:val="24"/>
        </w:rPr>
        <w:t>Methods:</w:t>
      </w:r>
      <w:r w:rsidR="00CF7601">
        <w:rPr>
          <w:rFonts w:ascii="Arial" w:hAnsi="Arial"/>
          <w:b/>
          <w:bCs/>
          <w:sz w:val="24"/>
          <w:szCs w:val="24"/>
        </w:rPr>
        <w:t xml:space="preserve"> </w:t>
      </w:r>
      <w:r w:rsidR="00E571E8">
        <w:rPr>
          <w:rFonts w:ascii="Arial" w:hAnsi="Arial"/>
          <w:sz w:val="24"/>
          <w:szCs w:val="24"/>
        </w:rPr>
        <w:t>a</w:t>
      </w:r>
      <w:r w:rsidR="00B34F32" w:rsidRPr="00B34F32">
        <w:rPr>
          <w:rFonts w:ascii="Arial" w:hAnsi="Arial"/>
          <w:sz w:val="24"/>
          <w:szCs w:val="24"/>
        </w:rPr>
        <w:t xml:space="preserve"> descriptive, longitudinal and retrospective study was carried out.</w:t>
      </w:r>
      <w:r w:rsidR="00587A06">
        <w:rPr>
          <w:rFonts w:ascii="Arial" w:hAnsi="Arial"/>
          <w:sz w:val="24"/>
          <w:szCs w:val="24"/>
        </w:rPr>
        <w:t xml:space="preserve"> </w:t>
      </w:r>
      <w:r w:rsidRPr="00B34F32">
        <w:rPr>
          <w:rFonts w:ascii="Arial" w:hAnsi="Arial"/>
          <w:b/>
          <w:bCs/>
          <w:sz w:val="24"/>
          <w:szCs w:val="24"/>
        </w:rPr>
        <w:t>Results:</w:t>
      </w:r>
      <w:r w:rsidR="00CF7601">
        <w:rPr>
          <w:rFonts w:ascii="Arial" w:hAnsi="Arial"/>
          <w:b/>
          <w:bCs/>
          <w:sz w:val="24"/>
          <w:szCs w:val="24"/>
        </w:rPr>
        <w:t xml:space="preserve"> </w:t>
      </w:r>
      <w:r w:rsidR="00E571E8">
        <w:rPr>
          <w:rFonts w:ascii="Arial" w:hAnsi="Arial"/>
          <w:sz w:val="24"/>
          <w:szCs w:val="24"/>
        </w:rPr>
        <w:t>o</w:t>
      </w:r>
      <w:r w:rsidR="001F241F" w:rsidRPr="001F241F">
        <w:rPr>
          <w:rFonts w:ascii="Arial" w:hAnsi="Arial"/>
          <w:sz w:val="24"/>
          <w:szCs w:val="24"/>
        </w:rPr>
        <w:t xml:space="preserve">f the population studied, one fifth was Luminal A, and of these, two thirds did not receive </w:t>
      </w:r>
      <w:r w:rsidR="00E571E8">
        <w:rPr>
          <w:rFonts w:ascii="Arial" w:hAnsi="Arial"/>
          <w:sz w:val="24"/>
          <w:szCs w:val="24"/>
        </w:rPr>
        <w:t>hormonal</w:t>
      </w:r>
      <w:r w:rsidR="001F241F" w:rsidRPr="001F241F">
        <w:rPr>
          <w:rFonts w:ascii="Arial" w:hAnsi="Arial"/>
          <w:sz w:val="24"/>
          <w:szCs w:val="24"/>
        </w:rPr>
        <w:t xml:space="preserve"> treatment, with predominance between the sixth and seventh decades of life. The time between taking the sample and obtaining the immunohistochemical result was unknown in most cases and the material impact was high.</w:t>
      </w:r>
      <w:r w:rsidR="001F241F">
        <w:rPr>
          <w:rFonts w:ascii="Arial" w:hAnsi="Arial"/>
          <w:b/>
          <w:bCs/>
          <w:sz w:val="24"/>
          <w:szCs w:val="24"/>
        </w:rPr>
        <w:t xml:space="preserve"> </w:t>
      </w:r>
      <w:r w:rsidRPr="00B34F32">
        <w:rPr>
          <w:rFonts w:ascii="Arial" w:hAnsi="Arial"/>
          <w:b/>
          <w:bCs/>
          <w:sz w:val="24"/>
          <w:szCs w:val="24"/>
        </w:rPr>
        <w:t>Conclusions:</w:t>
      </w:r>
      <w:r w:rsidR="00CF7601">
        <w:rPr>
          <w:rFonts w:ascii="Arial" w:hAnsi="Arial"/>
          <w:b/>
          <w:bCs/>
          <w:sz w:val="24"/>
          <w:szCs w:val="24"/>
        </w:rPr>
        <w:t xml:space="preserve"> </w:t>
      </w:r>
      <w:r w:rsidR="00E571E8">
        <w:rPr>
          <w:rFonts w:ascii="Arial" w:hAnsi="Arial"/>
          <w:sz w:val="24"/>
          <w:szCs w:val="24"/>
        </w:rPr>
        <w:t>t</w:t>
      </w:r>
      <w:r w:rsidR="00B34F32" w:rsidRPr="00B34F32">
        <w:rPr>
          <w:rFonts w:ascii="Arial" w:hAnsi="Arial"/>
          <w:sz w:val="24"/>
          <w:szCs w:val="24"/>
        </w:rPr>
        <w:t xml:space="preserve">he delay in obtaining the results of the </w:t>
      </w:r>
      <w:r w:rsidR="00B34F32" w:rsidRPr="00B34F32">
        <w:rPr>
          <w:rFonts w:ascii="Arial" w:hAnsi="Arial"/>
          <w:sz w:val="24"/>
          <w:szCs w:val="24"/>
        </w:rPr>
        <w:lastRenderedPageBreak/>
        <w:t>immunohistochemical technique represents a</w:t>
      </w:r>
      <w:r w:rsidR="00E571E8">
        <w:rPr>
          <w:rFonts w:ascii="Arial" w:hAnsi="Arial"/>
          <w:sz w:val="24"/>
          <w:szCs w:val="24"/>
        </w:rPr>
        <w:t>n</w:t>
      </w:r>
      <w:r w:rsidR="00B34F32" w:rsidRPr="00B34F32">
        <w:rPr>
          <w:rFonts w:ascii="Arial" w:hAnsi="Arial"/>
          <w:sz w:val="24"/>
          <w:szCs w:val="24"/>
        </w:rPr>
        <w:t xml:space="preserve"> </w:t>
      </w:r>
      <w:r w:rsidR="00E571E8">
        <w:rPr>
          <w:rFonts w:ascii="Arial" w:hAnsi="Arial"/>
          <w:sz w:val="24"/>
          <w:szCs w:val="24"/>
        </w:rPr>
        <w:t xml:space="preserve">excessive waste of resources </w:t>
      </w:r>
      <w:r w:rsidR="00B34F32" w:rsidRPr="00B34F32">
        <w:rPr>
          <w:rFonts w:ascii="Arial" w:hAnsi="Arial"/>
          <w:sz w:val="24"/>
          <w:szCs w:val="24"/>
        </w:rPr>
        <w:t>on the Provincial Cancer Center of Matanzas.</w:t>
      </w:r>
    </w:p>
    <w:p w14:paraId="23F65243" w14:textId="66C7456C" w:rsidR="00587A06" w:rsidRPr="00BD5F4F" w:rsidRDefault="00540B1E" w:rsidP="00BE2529">
      <w:pPr>
        <w:spacing w:line="360" w:lineRule="auto"/>
        <w:jc w:val="both"/>
        <w:rPr>
          <w:rFonts w:ascii="Arial" w:hAnsi="Arial"/>
          <w:sz w:val="24"/>
          <w:szCs w:val="24"/>
        </w:rPr>
      </w:pPr>
      <w:r w:rsidRPr="00B34F32">
        <w:rPr>
          <w:rFonts w:ascii="Arial" w:hAnsi="Arial"/>
          <w:b/>
          <w:bCs/>
          <w:sz w:val="24"/>
          <w:szCs w:val="24"/>
        </w:rPr>
        <w:t>Keywords:</w:t>
      </w:r>
      <w:r w:rsidR="00CF7601">
        <w:rPr>
          <w:rFonts w:ascii="Arial" w:hAnsi="Arial"/>
          <w:b/>
          <w:bCs/>
          <w:sz w:val="24"/>
          <w:szCs w:val="24"/>
        </w:rPr>
        <w:t xml:space="preserve"> </w:t>
      </w:r>
      <w:r w:rsidR="00E571E8">
        <w:rPr>
          <w:rFonts w:ascii="Arial" w:hAnsi="Arial"/>
          <w:sz w:val="24"/>
          <w:szCs w:val="24"/>
        </w:rPr>
        <w:t>i</w:t>
      </w:r>
      <w:r w:rsidR="00B34F32" w:rsidRPr="00B34F32">
        <w:rPr>
          <w:rFonts w:ascii="Arial" w:hAnsi="Arial"/>
          <w:sz w:val="24"/>
          <w:szCs w:val="24"/>
        </w:rPr>
        <w:t>mpact</w:t>
      </w:r>
      <w:r w:rsidR="00E571E8">
        <w:rPr>
          <w:rFonts w:ascii="Arial" w:hAnsi="Arial"/>
          <w:sz w:val="24"/>
          <w:szCs w:val="24"/>
        </w:rPr>
        <w:t>;</w:t>
      </w:r>
      <w:r w:rsidR="00B34F32" w:rsidRPr="00B34F32">
        <w:rPr>
          <w:rFonts w:ascii="Arial" w:hAnsi="Arial"/>
          <w:sz w:val="24"/>
          <w:szCs w:val="24"/>
        </w:rPr>
        <w:t xml:space="preserve"> immunohistochemistry</w:t>
      </w:r>
      <w:r w:rsidR="00E571E8">
        <w:rPr>
          <w:rFonts w:ascii="Arial" w:hAnsi="Arial"/>
          <w:sz w:val="24"/>
          <w:szCs w:val="24"/>
        </w:rPr>
        <w:t>;</w:t>
      </w:r>
      <w:r w:rsidR="00B34F32" w:rsidRPr="00B34F32">
        <w:rPr>
          <w:rFonts w:ascii="Arial" w:hAnsi="Arial"/>
          <w:sz w:val="24"/>
          <w:szCs w:val="24"/>
        </w:rPr>
        <w:t xml:space="preserve"> breast cancer.</w:t>
      </w:r>
    </w:p>
    <w:p w14:paraId="734517E4" w14:textId="4C6D9B94" w:rsidR="00540B1E" w:rsidRPr="00587A06" w:rsidRDefault="00540B1E" w:rsidP="00BE2529">
      <w:pPr>
        <w:spacing w:line="360" w:lineRule="auto"/>
        <w:jc w:val="both"/>
        <w:rPr>
          <w:rFonts w:ascii="Arial" w:hAnsi="Arial"/>
          <w:b/>
          <w:bCs/>
          <w:sz w:val="24"/>
          <w:szCs w:val="24"/>
          <w:lang w:val="es-US"/>
        </w:rPr>
      </w:pPr>
      <w:r w:rsidRPr="00587A06">
        <w:rPr>
          <w:rFonts w:ascii="Arial" w:hAnsi="Arial"/>
          <w:b/>
          <w:bCs/>
          <w:sz w:val="24"/>
          <w:szCs w:val="24"/>
          <w:lang w:val="es-US"/>
        </w:rPr>
        <w:t>Introducción</w:t>
      </w:r>
    </w:p>
    <w:p w14:paraId="3CB27F10" w14:textId="77777777" w:rsidR="009408BD" w:rsidRPr="00BE2529" w:rsidRDefault="009408BD" w:rsidP="00BE2529">
      <w:pPr>
        <w:spacing w:line="360" w:lineRule="auto"/>
        <w:jc w:val="both"/>
        <w:rPr>
          <w:rFonts w:ascii="Arial" w:hAnsi="Arial"/>
          <w:sz w:val="24"/>
          <w:szCs w:val="24"/>
          <w:lang w:val="es-US"/>
        </w:rPr>
      </w:pPr>
      <w:r w:rsidRPr="00BE2529">
        <w:rPr>
          <w:rFonts w:ascii="Arial" w:hAnsi="Arial"/>
          <w:sz w:val="24"/>
          <w:szCs w:val="24"/>
          <w:lang w:val="es-US"/>
        </w:rPr>
        <w:t>El cáncer es una enfermedad crónica, no transmisible. Se caracteriza por un crecimiento celular anómalo, clonal y continuado, que escapa a los mecanismos de control del organismo y presenta tendencia a la invasión y metástasis.</w:t>
      </w:r>
      <w:r w:rsidR="00CF7601">
        <w:rPr>
          <w:rFonts w:ascii="Arial" w:hAnsi="Arial"/>
          <w:sz w:val="24"/>
          <w:szCs w:val="24"/>
          <w:lang w:val="es-US"/>
        </w:rPr>
        <w:t xml:space="preserve"> </w:t>
      </w:r>
      <w:r w:rsidR="00430558" w:rsidRPr="00BE2529">
        <w:rPr>
          <w:rFonts w:ascii="Arial" w:hAnsi="Arial"/>
          <w:sz w:val="24"/>
          <w:szCs w:val="24"/>
          <w:lang w:val="es-US"/>
        </w:rPr>
        <w:t>E</w:t>
      </w:r>
      <w:r w:rsidRPr="00BE2529">
        <w:rPr>
          <w:rFonts w:ascii="Arial" w:hAnsi="Arial"/>
          <w:sz w:val="24"/>
          <w:szCs w:val="24"/>
          <w:lang w:val="es-US"/>
        </w:rPr>
        <w:t>l cáncer de mama, con su alta frecuencia, las implicaciones biológicas, el impacto emotivo y económico que acarrea en la paciente y sus familiares, hacen de esta enfermedad uno de los problemas de salud más discutidos a nivel médico-familiar.</w:t>
      </w:r>
    </w:p>
    <w:p w14:paraId="26C15EC2" w14:textId="46479239" w:rsidR="009408BD" w:rsidRPr="00BE2529" w:rsidRDefault="009408BD" w:rsidP="00BE2529">
      <w:pPr>
        <w:spacing w:line="360" w:lineRule="auto"/>
        <w:jc w:val="both"/>
        <w:rPr>
          <w:rFonts w:ascii="Arial" w:hAnsi="Arial"/>
          <w:sz w:val="24"/>
          <w:szCs w:val="24"/>
          <w:lang w:val="es-US"/>
        </w:rPr>
      </w:pPr>
      <w:r w:rsidRPr="00BE2529">
        <w:rPr>
          <w:rFonts w:ascii="Arial" w:hAnsi="Arial"/>
          <w:sz w:val="24"/>
          <w:szCs w:val="24"/>
          <w:lang w:val="es-US"/>
        </w:rPr>
        <w:t xml:space="preserve">La inmunohistoquímica y la biología molecular en oncología han permitido una medicina </w:t>
      </w:r>
      <w:r w:rsidR="00E571E8">
        <w:rPr>
          <w:rFonts w:ascii="Arial" w:hAnsi="Arial"/>
          <w:sz w:val="24"/>
          <w:szCs w:val="24"/>
          <w:lang w:val="es-US"/>
        </w:rPr>
        <w:t>de precisión</w:t>
      </w:r>
      <w:r w:rsidRPr="00BE2529">
        <w:rPr>
          <w:rFonts w:ascii="Arial" w:hAnsi="Arial"/>
          <w:sz w:val="24"/>
          <w:szCs w:val="24"/>
          <w:lang w:val="es-US"/>
        </w:rPr>
        <w:t xml:space="preserve">, pero son costosos, y aunque presentan una prometedora proyección en su utilidad clínica futura, en la actualidad su aplicación clínica no es factible </w:t>
      </w:r>
      <w:r w:rsidR="008932D9">
        <w:rPr>
          <w:rFonts w:ascii="Arial" w:hAnsi="Arial"/>
          <w:sz w:val="24"/>
          <w:szCs w:val="24"/>
          <w:lang w:val="es-US"/>
        </w:rPr>
        <w:t>en todas las instituciones de salud por</w:t>
      </w:r>
      <w:r w:rsidRPr="00BE2529">
        <w:rPr>
          <w:rFonts w:ascii="Arial" w:hAnsi="Arial"/>
          <w:sz w:val="24"/>
          <w:szCs w:val="24"/>
          <w:lang w:val="es-US"/>
        </w:rPr>
        <w:t xml:space="preserve"> la complejidad y el costo de estas técnicas.</w:t>
      </w:r>
      <w:r w:rsidR="00CF7601">
        <w:rPr>
          <w:rFonts w:ascii="Arial" w:hAnsi="Arial"/>
          <w:sz w:val="24"/>
          <w:szCs w:val="24"/>
          <w:lang w:val="es-US"/>
        </w:rPr>
        <w:t xml:space="preserve"> </w:t>
      </w:r>
      <w:r w:rsidRPr="00BE2529">
        <w:rPr>
          <w:rFonts w:ascii="Arial" w:hAnsi="Arial"/>
          <w:sz w:val="24"/>
          <w:szCs w:val="24"/>
          <w:lang w:val="es-US"/>
        </w:rPr>
        <w:t xml:space="preserve">La introducción del equipamiento para la aplicación de la técnica </w:t>
      </w:r>
      <w:r w:rsidR="008932D9">
        <w:rPr>
          <w:rFonts w:ascii="Arial" w:hAnsi="Arial"/>
          <w:sz w:val="24"/>
          <w:szCs w:val="24"/>
          <w:lang w:val="es-US"/>
        </w:rPr>
        <w:t>en nuestro país</w:t>
      </w:r>
      <w:r w:rsidRPr="00BE2529">
        <w:rPr>
          <w:rFonts w:ascii="Arial" w:hAnsi="Arial"/>
          <w:sz w:val="24"/>
          <w:szCs w:val="24"/>
          <w:lang w:val="es-US"/>
        </w:rPr>
        <w:t xml:space="preserve"> data del último decenio. La ubicación fue centralizada en el nivel terciario (Hospital “Hermanos Ameijeiras” e Instituto de Oncología y Radiobiología) </w:t>
      </w:r>
      <w:r w:rsidR="00184393">
        <w:rPr>
          <w:rFonts w:ascii="Arial" w:hAnsi="Arial"/>
          <w:sz w:val="24"/>
          <w:szCs w:val="24"/>
          <w:lang w:val="es-US"/>
        </w:rPr>
        <w:t>La</w:t>
      </w:r>
      <w:r w:rsidR="00184393" w:rsidRPr="00184393">
        <w:rPr>
          <w:rStyle w:val="Refdecomentario"/>
          <w:lang w:val="es-US"/>
        </w:rPr>
        <w:t xml:space="preserve"> </w:t>
      </w:r>
      <w:r w:rsidR="00184393">
        <w:rPr>
          <w:rFonts w:ascii="Arial" w:hAnsi="Arial"/>
          <w:sz w:val="24"/>
          <w:szCs w:val="24"/>
          <w:lang w:val="es-US"/>
        </w:rPr>
        <w:t>se</w:t>
      </w:r>
      <w:r w:rsidRPr="00BE2529">
        <w:rPr>
          <w:rFonts w:ascii="Arial" w:hAnsi="Arial"/>
          <w:sz w:val="24"/>
          <w:szCs w:val="24"/>
          <w:lang w:val="es-US"/>
        </w:rPr>
        <w:t>cción independiente para el control del cáncer del Ministerio de Salud Pública (MINSAP) estableció la regionalización de las provincias para que tributaran a los mismos las muestras de biopsias de tumores de mama y linfomas, cuyos resultados se obtendrían vía electrónica.</w:t>
      </w:r>
    </w:p>
    <w:p w14:paraId="00CBCAAF" w14:textId="1DD4D5F1" w:rsidR="009408BD" w:rsidRPr="00BE2529" w:rsidRDefault="00184393" w:rsidP="00BE2529">
      <w:pPr>
        <w:spacing w:before="240" w:after="0" w:line="360" w:lineRule="auto"/>
        <w:jc w:val="both"/>
        <w:rPr>
          <w:rFonts w:ascii="Arial" w:hAnsi="Arial"/>
          <w:sz w:val="24"/>
          <w:szCs w:val="24"/>
          <w:lang w:val="es-US"/>
        </w:rPr>
      </w:pPr>
      <w:r w:rsidRPr="00184393">
        <w:rPr>
          <w:rFonts w:ascii="Arial" w:hAnsi="Arial"/>
          <w:sz w:val="24"/>
          <w:szCs w:val="24"/>
          <w:lang w:val="es-US"/>
        </w:rPr>
        <w:t>El</w:t>
      </w:r>
      <w:r w:rsidR="009408BD" w:rsidRPr="00BE2529">
        <w:rPr>
          <w:rFonts w:ascii="Arial" w:hAnsi="Arial"/>
          <w:sz w:val="24"/>
          <w:szCs w:val="24"/>
          <w:lang w:val="es-US"/>
        </w:rPr>
        <w:t xml:space="preserve"> tratamiento actual de las pacientes con cáncer de mama depende del resultado de la inmunohistoquímica. </w:t>
      </w:r>
      <w:r w:rsidR="006330BD">
        <w:rPr>
          <w:rFonts w:ascii="Arial" w:hAnsi="Arial"/>
          <w:sz w:val="24"/>
          <w:szCs w:val="24"/>
          <w:lang w:val="es-US"/>
        </w:rPr>
        <w:t xml:space="preserve">El cáncer de mama tipo Luminal A representa aproximadamente el 40 % de todos los casos. Es uno de los subtipos más comunes y se caracteriza por ser receptores hormonales positivos (estrógeno y/o progesterona) y un bajo nivel de proliferación celular. </w:t>
      </w:r>
      <w:r w:rsidR="009408BD" w:rsidRPr="0005699B">
        <w:rPr>
          <w:rFonts w:ascii="Arial" w:hAnsi="Arial"/>
          <w:sz w:val="24"/>
          <w:szCs w:val="24"/>
          <w:vertAlign w:val="superscript"/>
          <w:lang w:val="es-US"/>
        </w:rPr>
        <w:t>(</w:t>
      </w:r>
      <w:r w:rsidR="000C3019" w:rsidRPr="0005699B">
        <w:rPr>
          <w:rFonts w:ascii="Arial" w:hAnsi="Arial"/>
          <w:sz w:val="24"/>
          <w:szCs w:val="24"/>
          <w:vertAlign w:val="superscript"/>
          <w:lang w:val="es-US"/>
        </w:rPr>
        <w:t>1</w:t>
      </w:r>
      <w:r w:rsidR="009408BD" w:rsidRPr="0005699B">
        <w:rPr>
          <w:rFonts w:ascii="Arial" w:hAnsi="Arial"/>
          <w:sz w:val="24"/>
          <w:szCs w:val="24"/>
          <w:vertAlign w:val="superscript"/>
          <w:lang w:val="es-US"/>
        </w:rPr>
        <w:t>)</w:t>
      </w:r>
      <w:r w:rsidR="009408BD" w:rsidRPr="00BE2529">
        <w:rPr>
          <w:rFonts w:ascii="Arial" w:hAnsi="Arial"/>
          <w:sz w:val="24"/>
          <w:szCs w:val="24"/>
          <w:lang w:val="es-US"/>
        </w:rPr>
        <w:t xml:space="preserve"> En una investigación publicad</w:t>
      </w:r>
      <w:r w:rsidR="001F241F">
        <w:rPr>
          <w:rFonts w:ascii="Arial" w:hAnsi="Arial"/>
          <w:sz w:val="24"/>
          <w:szCs w:val="24"/>
          <w:lang w:val="es-US"/>
        </w:rPr>
        <w:t>a</w:t>
      </w:r>
      <w:r w:rsidR="009408BD" w:rsidRPr="00BE2529">
        <w:rPr>
          <w:rFonts w:ascii="Arial" w:hAnsi="Arial"/>
          <w:sz w:val="24"/>
          <w:szCs w:val="24"/>
          <w:lang w:val="es-US"/>
        </w:rPr>
        <w:t xml:space="preserve"> en 2017 por Ventana Medical </w:t>
      </w:r>
      <w:proofErr w:type="spellStart"/>
      <w:r w:rsidR="009408BD" w:rsidRPr="00BE2529">
        <w:rPr>
          <w:rFonts w:ascii="Arial" w:hAnsi="Arial"/>
          <w:sz w:val="24"/>
          <w:szCs w:val="24"/>
          <w:lang w:val="es-US"/>
        </w:rPr>
        <w:t>Systems</w:t>
      </w:r>
      <w:proofErr w:type="spellEnd"/>
      <w:r w:rsidR="009408BD" w:rsidRPr="00BE2529">
        <w:rPr>
          <w:rFonts w:ascii="Arial" w:hAnsi="Arial"/>
          <w:sz w:val="24"/>
          <w:szCs w:val="24"/>
          <w:lang w:val="es-US"/>
        </w:rPr>
        <w:t xml:space="preserve">, Inc. </w:t>
      </w:r>
      <w:r w:rsidR="009408BD" w:rsidRPr="0005699B">
        <w:rPr>
          <w:rFonts w:ascii="Arial" w:hAnsi="Arial"/>
          <w:sz w:val="24"/>
          <w:szCs w:val="24"/>
          <w:vertAlign w:val="superscript"/>
          <w:lang w:val="es-US"/>
        </w:rPr>
        <w:t>(</w:t>
      </w:r>
      <w:r w:rsidR="000C3019" w:rsidRPr="0005699B">
        <w:rPr>
          <w:rFonts w:ascii="Arial" w:hAnsi="Arial"/>
          <w:sz w:val="24"/>
          <w:szCs w:val="24"/>
          <w:vertAlign w:val="superscript"/>
          <w:lang w:val="es-US"/>
        </w:rPr>
        <w:t>2</w:t>
      </w:r>
      <w:r w:rsidR="009408BD" w:rsidRPr="0005699B">
        <w:rPr>
          <w:rFonts w:ascii="Arial" w:hAnsi="Arial"/>
          <w:sz w:val="24"/>
          <w:szCs w:val="24"/>
          <w:vertAlign w:val="superscript"/>
          <w:lang w:val="es-US"/>
        </w:rPr>
        <w:t>)</w:t>
      </w:r>
      <w:r w:rsidR="009408BD" w:rsidRPr="00BE2529">
        <w:rPr>
          <w:rFonts w:ascii="Arial" w:hAnsi="Arial"/>
          <w:sz w:val="24"/>
          <w:szCs w:val="24"/>
          <w:lang w:val="es-US"/>
        </w:rPr>
        <w:t xml:space="preserve"> la mayor tasa de respuesta </w:t>
      </w:r>
      <w:r w:rsidR="008932D9">
        <w:rPr>
          <w:rFonts w:ascii="Arial" w:hAnsi="Arial"/>
          <w:sz w:val="24"/>
          <w:szCs w:val="24"/>
          <w:lang w:val="es-US"/>
        </w:rPr>
        <w:t xml:space="preserve">en este inmunofenotipo </w:t>
      </w:r>
      <w:r w:rsidR="009408BD" w:rsidRPr="00BE2529">
        <w:rPr>
          <w:rFonts w:ascii="Arial" w:hAnsi="Arial"/>
          <w:sz w:val="24"/>
          <w:szCs w:val="24"/>
          <w:lang w:val="es-US"/>
        </w:rPr>
        <w:t xml:space="preserve">se obtuvo con hormonoterapia (tamoxifeno e inhibidores de aromatasa). Al respecto, la Dra. Ana Lluch, </w:t>
      </w:r>
      <w:r w:rsidR="009408BD" w:rsidRPr="0005699B">
        <w:rPr>
          <w:rFonts w:ascii="Arial" w:hAnsi="Arial"/>
          <w:sz w:val="24"/>
          <w:szCs w:val="24"/>
          <w:vertAlign w:val="superscript"/>
          <w:lang w:val="es-US"/>
        </w:rPr>
        <w:t>(</w:t>
      </w:r>
      <w:r w:rsidR="000C3019" w:rsidRPr="0005699B">
        <w:rPr>
          <w:rFonts w:ascii="Arial" w:hAnsi="Arial"/>
          <w:sz w:val="24"/>
          <w:szCs w:val="24"/>
          <w:vertAlign w:val="superscript"/>
          <w:lang w:val="es-US"/>
        </w:rPr>
        <w:t>3</w:t>
      </w:r>
      <w:r w:rsidR="009408BD" w:rsidRPr="0005699B">
        <w:rPr>
          <w:rFonts w:ascii="Arial" w:hAnsi="Arial"/>
          <w:sz w:val="24"/>
          <w:szCs w:val="24"/>
          <w:vertAlign w:val="superscript"/>
          <w:lang w:val="es-US"/>
        </w:rPr>
        <w:t>)</w:t>
      </w:r>
      <w:r w:rsidR="009408BD" w:rsidRPr="00BE2529">
        <w:rPr>
          <w:rFonts w:ascii="Arial" w:hAnsi="Arial"/>
          <w:sz w:val="24"/>
          <w:szCs w:val="24"/>
          <w:lang w:val="es-US"/>
        </w:rPr>
        <w:t xml:space="preserve"> jefa del Servicio de </w:t>
      </w:r>
      <w:r w:rsidR="009408BD" w:rsidRPr="00BE2529">
        <w:rPr>
          <w:rFonts w:ascii="Arial" w:hAnsi="Arial"/>
          <w:sz w:val="24"/>
          <w:szCs w:val="24"/>
          <w:lang w:val="es-US"/>
        </w:rPr>
        <w:lastRenderedPageBreak/>
        <w:t xml:space="preserve">Hematología y Oncología Médica del Hospital Clínico Universitario de Valencia en artículo publicado en la revista EFE: Salud explica que los tumores con estas características no se benefician del uso de quimioterapia.  </w:t>
      </w:r>
    </w:p>
    <w:p w14:paraId="46DD35BD" w14:textId="2F637824" w:rsidR="001F241F" w:rsidRPr="00BE2529" w:rsidRDefault="009408BD" w:rsidP="001F241F">
      <w:pPr>
        <w:spacing w:before="240" w:line="360" w:lineRule="auto"/>
        <w:jc w:val="both"/>
        <w:rPr>
          <w:rFonts w:ascii="Arial" w:hAnsi="Arial"/>
          <w:sz w:val="24"/>
          <w:szCs w:val="24"/>
          <w:lang w:val="es-US"/>
        </w:rPr>
      </w:pPr>
      <w:r w:rsidRPr="00BE2529">
        <w:rPr>
          <w:rFonts w:ascii="Arial" w:hAnsi="Arial"/>
          <w:sz w:val="24"/>
          <w:szCs w:val="24"/>
          <w:lang w:val="es-US"/>
        </w:rPr>
        <w:t xml:space="preserve">Debido a la situación económica actual, y </w:t>
      </w:r>
      <w:r w:rsidR="00430558" w:rsidRPr="00BE2529">
        <w:rPr>
          <w:rFonts w:ascii="Arial" w:hAnsi="Arial"/>
          <w:sz w:val="24"/>
          <w:szCs w:val="24"/>
          <w:lang w:val="es-US"/>
        </w:rPr>
        <w:t xml:space="preserve">las violentas consecuencias del bloqueo imperialista a nuestro país, es primordial la correcta gestión económica, siendo responsabilidad de las instituciones de salud realizar este tipo de investigaciones. Para ello nos planteamos como objetivo:  identificar el impacto material </w:t>
      </w:r>
      <w:r w:rsidR="00587A06" w:rsidRPr="00BE2529">
        <w:rPr>
          <w:rFonts w:ascii="Arial" w:hAnsi="Arial"/>
          <w:sz w:val="24"/>
          <w:szCs w:val="24"/>
          <w:lang w:val="es-US"/>
        </w:rPr>
        <w:t xml:space="preserve">por </w:t>
      </w:r>
      <w:r w:rsidR="00587A06" w:rsidRPr="00587A06">
        <w:rPr>
          <w:rFonts w:ascii="Arial" w:hAnsi="Arial"/>
          <w:sz w:val="24"/>
          <w:szCs w:val="24"/>
          <w:lang w:val="es-US"/>
        </w:rPr>
        <w:t>el retraso en la obtención del resultado de técnica de inmunohistoquímica de pacientes con cáncer de mama en el Servicio Oncológico Provincial de Matanzas</w:t>
      </w:r>
      <w:r w:rsidR="00587A06">
        <w:rPr>
          <w:rFonts w:ascii="Arial" w:hAnsi="Arial"/>
          <w:sz w:val="24"/>
          <w:szCs w:val="24"/>
          <w:lang w:val="es-US"/>
        </w:rPr>
        <w:t>.</w:t>
      </w:r>
    </w:p>
    <w:p w14:paraId="029361FB" w14:textId="77777777" w:rsidR="00540B1E" w:rsidRPr="00BE2529" w:rsidRDefault="00540B1E" w:rsidP="00BE2529">
      <w:pPr>
        <w:spacing w:line="360" w:lineRule="auto"/>
        <w:jc w:val="both"/>
        <w:rPr>
          <w:rFonts w:ascii="Arial" w:hAnsi="Arial"/>
          <w:b/>
          <w:bCs/>
          <w:sz w:val="24"/>
          <w:szCs w:val="24"/>
          <w:lang w:val="es-US"/>
        </w:rPr>
      </w:pPr>
      <w:r w:rsidRPr="00BE2529">
        <w:rPr>
          <w:rFonts w:ascii="Arial" w:hAnsi="Arial"/>
          <w:b/>
          <w:bCs/>
          <w:sz w:val="24"/>
          <w:szCs w:val="24"/>
          <w:lang w:val="es-US"/>
        </w:rPr>
        <w:t>M</w:t>
      </w:r>
      <w:r w:rsidR="0005699B">
        <w:rPr>
          <w:rFonts w:ascii="Arial" w:hAnsi="Arial"/>
          <w:b/>
          <w:bCs/>
          <w:sz w:val="24"/>
          <w:szCs w:val="24"/>
          <w:lang w:val="es-US"/>
        </w:rPr>
        <w:t>aterial y M</w:t>
      </w:r>
      <w:r w:rsidRPr="00BE2529">
        <w:rPr>
          <w:rFonts w:ascii="Arial" w:hAnsi="Arial"/>
          <w:b/>
          <w:bCs/>
          <w:sz w:val="24"/>
          <w:szCs w:val="24"/>
          <w:lang w:val="es-US"/>
        </w:rPr>
        <w:t>étodos</w:t>
      </w:r>
    </w:p>
    <w:p w14:paraId="1C84BAF2" w14:textId="28F73364" w:rsidR="006330BD" w:rsidRPr="006330BD" w:rsidRDefault="00430558" w:rsidP="006330BD">
      <w:pPr>
        <w:spacing w:line="360" w:lineRule="auto"/>
        <w:jc w:val="both"/>
        <w:rPr>
          <w:rFonts w:ascii="Arial" w:hAnsi="Arial"/>
          <w:sz w:val="24"/>
          <w:szCs w:val="24"/>
          <w:lang w:val="es-US"/>
        </w:rPr>
      </w:pPr>
      <w:r w:rsidRPr="00BE2529">
        <w:rPr>
          <w:rFonts w:ascii="Arial" w:hAnsi="Arial"/>
          <w:sz w:val="24"/>
          <w:szCs w:val="24"/>
          <w:lang w:val="es-US"/>
        </w:rPr>
        <w:t>Se realizó un estudio descriptivo, longitudinal y retrospectivo</w:t>
      </w:r>
      <w:r w:rsidR="007F793A">
        <w:rPr>
          <w:rFonts w:ascii="Arial" w:hAnsi="Arial"/>
          <w:sz w:val="24"/>
          <w:szCs w:val="24"/>
          <w:lang w:val="es-US"/>
        </w:rPr>
        <w:t xml:space="preserve"> </w:t>
      </w:r>
      <w:r w:rsidRPr="00BE2529">
        <w:rPr>
          <w:rFonts w:ascii="Arial" w:hAnsi="Arial"/>
          <w:sz w:val="24"/>
          <w:szCs w:val="24"/>
          <w:lang w:val="es-US"/>
        </w:rPr>
        <w:t xml:space="preserve">en el Servicio Oncológico Provincial de Matanzas; abarcando el período comprendido entre enero de 2016 hasta diciembre de 2020. El universo de estudio estuvo constituido por 969 pacientes atendidas en consulta de cáncer de mama </w:t>
      </w:r>
      <w:r w:rsidR="006330BD">
        <w:rPr>
          <w:rFonts w:ascii="Arial" w:hAnsi="Arial"/>
          <w:sz w:val="24"/>
          <w:szCs w:val="24"/>
          <w:lang w:val="es-US"/>
        </w:rPr>
        <w:t xml:space="preserve">con confirmación histológica de la enfermedad </w:t>
      </w:r>
      <w:r w:rsidRPr="00BE2529">
        <w:rPr>
          <w:rFonts w:ascii="Arial" w:hAnsi="Arial"/>
          <w:sz w:val="24"/>
          <w:szCs w:val="24"/>
          <w:lang w:val="es-US"/>
        </w:rPr>
        <w:t>y la muestra por 137 pacientes con tumores</w:t>
      </w:r>
      <w:r w:rsidR="00587A06">
        <w:rPr>
          <w:rFonts w:ascii="Arial" w:hAnsi="Arial"/>
          <w:sz w:val="24"/>
          <w:szCs w:val="24"/>
          <w:lang w:val="es-US"/>
        </w:rPr>
        <w:t xml:space="preserve"> de mama</w:t>
      </w:r>
      <w:r w:rsidRPr="00BE2529">
        <w:rPr>
          <w:rFonts w:ascii="Arial" w:hAnsi="Arial"/>
          <w:sz w:val="24"/>
          <w:szCs w:val="24"/>
          <w:lang w:val="es-US"/>
        </w:rPr>
        <w:t xml:space="preserve"> tipo Luminal A, cuya estrategia terapéutica no estuvo acorde al resultado de inmunohistoquímica</w:t>
      </w:r>
      <w:r w:rsidR="00587A06">
        <w:rPr>
          <w:rFonts w:ascii="Arial" w:hAnsi="Arial"/>
          <w:sz w:val="24"/>
          <w:szCs w:val="24"/>
          <w:lang w:val="es-US"/>
        </w:rPr>
        <w:t xml:space="preserve"> debido a la demora en la obtención del </w:t>
      </w:r>
      <w:r w:rsidR="001F241F">
        <w:rPr>
          <w:rFonts w:ascii="Arial" w:hAnsi="Arial"/>
          <w:sz w:val="24"/>
          <w:szCs w:val="24"/>
          <w:lang w:val="es-US"/>
        </w:rPr>
        <w:t>mismo,</w:t>
      </w:r>
      <w:r w:rsidR="00587A06">
        <w:rPr>
          <w:rFonts w:ascii="Arial" w:hAnsi="Arial"/>
          <w:sz w:val="24"/>
          <w:szCs w:val="24"/>
          <w:lang w:val="es-US"/>
        </w:rPr>
        <w:t xml:space="preserve"> </w:t>
      </w:r>
      <w:r w:rsidR="001F241F">
        <w:rPr>
          <w:rFonts w:ascii="Arial" w:hAnsi="Arial"/>
          <w:sz w:val="24"/>
          <w:szCs w:val="24"/>
          <w:lang w:val="es-US"/>
        </w:rPr>
        <w:t>en quienes se utilizó</w:t>
      </w:r>
      <w:r w:rsidR="00587A06">
        <w:rPr>
          <w:rFonts w:ascii="Arial" w:hAnsi="Arial"/>
          <w:sz w:val="24"/>
          <w:szCs w:val="24"/>
          <w:lang w:val="es-US"/>
        </w:rPr>
        <w:t xml:space="preserve"> </w:t>
      </w:r>
      <w:r w:rsidRPr="00BE2529">
        <w:rPr>
          <w:rFonts w:ascii="Arial" w:hAnsi="Arial"/>
          <w:sz w:val="24"/>
          <w:szCs w:val="24"/>
          <w:lang w:val="es-US"/>
        </w:rPr>
        <w:t>quimioterapia de combinación</w:t>
      </w:r>
      <w:r w:rsidR="001F241F">
        <w:rPr>
          <w:rFonts w:ascii="Arial" w:hAnsi="Arial"/>
          <w:sz w:val="24"/>
          <w:szCs w:val="24"/>
          <w:lang w:val="es-US"/>
        </w:rPr>
        <w:t xml:space="preserve"> </w:t>
      </w:r>
      <w:r w:rsidRPr="00BE2529">
        <w:rPr>
          <w:rFonts w:ascii="Arial" w:hAnsi="Arial"/>
          <w:sz w:val="24"/>
          <w:szCs w:val="24"/>
          <w:lang w:val="es-US"/>
        </w:rPr>
        <w:t xml:space="preserve">sin lograr </w:t>
      </w:r>
      <w:r w:rsidR="006330BD">
        <w:rPr>
          <w:rFonts w:ascii="Arial" w:hAnsi="Arial"/>
          <w:sz w:val="24"/>
          <w:szCs w:val="24"/>
          <w:lang w:val="es-US"/>
        </w:rPr>
        <w:t xml:space="preserve">impacto positivo en la supervivencia global y libre de progresión de la enfermedad pero sí con aumento de la toxicidad financiera y efectos adversos. </w:t>
      </w:r>
    </w:p>
    <w:p w14:paraId="27C82C53" w14:textId="768C8A35" w:rsidR="00430558" w:rsidRDefault="00430558" w:rsidP="00BE2529">
      <w:pPr>
        <w:spacing w:line="360" w:lineRule="auto"/>
        <w:jc w:val="both"/>
        <w:rPr>
          <w:rFonts w:ascii="Arial" w:hAnsi="Arial"/>
          <w:sz w:val="24"/>
          <w:szCs w:val="24"/>
          <w:lang w:val="es-US"/>
        </w:rPr>
      </w:pPr>
      <w:r w:rsidRPr="00BE2529">
        <w:rPr>
          <w:rFonts w:ascii="Arial" w:hAnsi="Arial"/>
          <w:sz w:val="24"/>
          <w:szCs w:val="24"/>
          <w:lang w:val="es-US"/>
        </w:rPr>
        <w:t>Las</w:t>
      </w:r>
      <w:r w:rsidR="007F793A">
        <w:rPr>
          <w:rFonts w:ascii="Arial" w:hAnsi="Arial"/>
          <w:sz w:val="24"/>
          <w:szCs w:val="24"/>
          <w:lang w:val="es-US"/>
        </w:rPr>
        <w:t xml:space="preserve"> </w:t>
      </w:r>
      <w:r w:rsidRPr="00BE2529">
        <w:rPr>
          <w:rFonts w:ascii="Arial" w:hAnsi="Arial"/>
          <w:sz w:val="24"/>
          <w:szCs w:val="24"/>
          <w:lang w:val="es-US"/>
        </w:rPr>
        <w:t>pacientes fueron identificadas mediante la base de datos y revisión de historias</w:t>
      </w:r>
      <w:r w:rsidR="007F793A">
        <w:rPr>
          <w:rFonts w:ascii="Arial" w:hAnsi="Arial"/>
          <w:sz w:val="24"/>
          <w:szCs w:val="24"/>
          <w:lang w:val="es-US"/>
        </w:rPr>
        <w:t xml:space="preserve"> </w:t>
      </w:r>
      <w:r w:rsidRPr="00BE2529">
        <w:rPr>
          <w:rFonts w:ascii="Arial" w:hAnsi="Arial"/>
          <w:sz w:val="24"/>
          <w:szCs w:val="24"/>
          <w:lang w:val="es-US"/>
        </w:rPr>
        <w:t xml:space="preserve">clínicas situadas en </w:t>
      </w:r>
      <w:r w:rsidR="00A02B21" w:rsidRPr="00BE2529">
        <w:rPr>
          <w:rFonts w:ascii="Arial" w:hAnsi="Arial"/>
          <w:sz w:val="24"/>
          <w:szCs w:val="24"/>
          <w:lang w:val="es-US"/>
        </w:rPr>
        <w:t xml:space="preserve">el archivo del Centro Oncológico Provincial de Matanzas. Se caracterizó a todas las pacientes de acuerdo a la edad, inmunofenotipo tumoral y la elección de tratamiento </w:t>
      </w:r>
      <w:r w:rsidR="00E571E8">
        <w:rPr>
          <w:rFonts w:ascii="Arial" w:hAnsi="Arial"/>
          <w:sz w:val="24"/>
          <w:szCs w:val="24"/>
          <w:lang w:val="es-US"/>
        </w:rPr>
        <w:t xml:space="preserve">de </w:t>
      </w:r>
      <w:r w:rsidR="005E6150">
        <w:rPr>
          <w:rFonts w:ascii="Arial" w:hAnsi="Arial"/>
          <w:sz w:val="24"/>
          <w:szCs w:val="24"/>
          <w:lang w:val="es-US"/>
        </w:rPr>
        <w:t>precisión</w:t>
      </w:r>
      <w:r w:rsidR="00A02B21" w:rsidRPr="00BE2529">
        <w:rPr>
          <w:rFonts w:ascii="Arial" w:hAnsi="Arial"/>
          <w:sz w:val="24"/>
          <w:szCs w:val="24"/>
          <w:lang w:val="es-US"/>
        </w:rPr>
        <w:t xml:space="preserve">. Se calculó el tiempo promedio entre el diagnóstico histológico y la obtención del resultado de la técnica de inmunohistoquímica. Se </w:t>
      </w:r>
      <w:r w:rsidR="006330BD">
        <w:rPr>
          <w:rFonts w:ascii="Arial" w:hAnsi="Arial"/>
          <w:sz w:val="24"/>
          <w:szCs w:val="24"/>
          <w:lang w:val="es-US"/>
        </w:rPr>
        <w:t xml:space="preserve">determinaron las </w:t>
      </w:r>
      <w:r w:rsidR="005E6150">
        <w:rPr>
          <w:rFonts w:ascii="Arial" w:hAnsi="Arial"/>
          <w:sz w:val="24"/>
          <w:szCs w:val="24"/>
          <w:lang w:val="es-US"/>
        </w:rPr>
        <w:t xml:space="preserve">pérdidas </w:t>
      </w:r>
      <w:r w:rsidR="005E6150" w:rsidRPr="00BE2529">
        <w:rPr>
          <w:rFonts w:ascii="Arial" w:hAnsi="Arial"/>
          <w:sz w:val="24"/>
          <w:szCs w:val="24"/>
          <w:lang w:val="es-US"/>
        </w:rPr>
        <w:t>resultantes</w:t>
      </w:r>
      <w:r w:rsidR="00A02B21" w:rsidRPr="00BE2529">
        <w:rPr>
          <w:rFonts w:ascii="Arial" w:hAnsi="Arial"/>
          <w:sz w:val="24"/>
          <w:szCs w:val="24"/>
          <w:lang w:val="es-US"/>
        </w:rPr>
        <w:t xml:space="preserve"> del sobretratamiento de las pacientes con cáncer de mama tipo Luminal A que recibieron quimioterapia teniendo en cuenta los recursos materiales gastables</w:t>
      </w:r>
      <w:r w:rsidR="006330BD">
        <w:rPr>
          <w:rFonts w:ascii="Arial" w:hAnsi="Arial"/>
          <w:sz w:val="24"/>
          <w:szCs w:val="24"/>
          <w:lang w:val="es-US"/>
        </w:rPr>
        <w:t>;</w:t>
      </w:r>
      <w:r w:rsidR="00A02B21" w:rsidRPr="00BE2529">
        <w:rPr>
          <w:rFonts w:ascii="Arial" w:hAnsi="Arial"/>
          <w:sz w:val="24"/>
          <w:szCs w:val="24"/>
          <w:lang w:val="es-US"/>
        </w:rPr>
        <w:t xml:space="preserve"> medicamentos utilizados</w:t>
      </w:r>
      <w:r w:rsidR="005E6150">
        <w:rPr>
          <w:rFonts w:ascii="Arial" w:hAnsi="Arial"/>
          <w:sz w:val="24"/>
          <w:szCs w:val="24"/>
          <w:lang w:val="es-US"/>
        </w:rPr>
        <w:t xml:space="preserve"> y</w:t>
      </w:r>
      <w:r w:rsidR="006330BD">
        <w:rPr>
          <w:rFonts w:ascii="Arial" w:hAnsi="Arial"/>
          <w:sz w:val="24"/>
          <w:szCs w:val="24"/>
          <w:lang w:val="es-US"/>
        </w:rPr>
        <w:t xml:space="preserve"> </w:t>
      </w:r>
      <w:r w:rsidR="00A02B21" w:rsidRPr="00BE2529">
        <w:rPr>
          <w:rFonts w:ascii="Arial" w:hAnsi="Arial"/>
          <w:sz w:val="24"/>
          <w:szCs w:val="24"/>
          <w:lang w:val="es-US"/>
        </w:rPr>
        <w:t>pérdidas en materia de recursos humanos</w:t>
      </w:r>
      <w:r w:rsidR="006330BD">
        <w:rPr>
          <w:rFonts w:ascii="Arial" w:hAnsi="Arial"/>
          <w:sz w:val="24"/>
          <w:szCs w:val="24"/>
          <w:lang w:val="es-US"/>
        </w:rPr>
        <w:t>.</w:t>
      </w:r>
      <w:r w:rsidR="005E6150">
        <w:rPr>
          <w:rFonts w:ascii="Arial" w:hAnsi="Arial"/>
          <w:sz w:val="24"/>
          <w:szCs w:val="24"/>
          <w:lang w:val="es-US"/>
        </w:rPr>
        <w:t xml:space="preserve"> </w:t>
      </w:r>
    </w:p>
    <w:p w14:paraId="089F1B67" w14:textId="6D271DC7" w:rsidR="005E6150" w:rsidRPr="00BE2529" w:rsidRDefault="005E6150" w:rsidP="00BE2529">
      <w:pPr>
        <w:spacing w:line="360" w:lineRule="auto"/>
        <w:jc w:val="both"/>
        <w:rPr>
          <w:rFonts w:ascii="Arial" w:hAnsi="Arial"/>
          <w:sz w:val="24"/>
          <w:szCs w:val="24"/>
          <w:lang w:val="es-US"/>
        </w:rPr>
      </w:pPr>
      <w:r w:rsidRPr="005E6150">
        <w:rPr>
          <w:rFonts w:ascii="Arial" w:hAnsi="Arial"/>
          <w:sz w:val="24"/>
          <w:szCs w:val="24"/>
          <w:lang w:val="es-US"/>
        </w:rPr>
        <w:lastRenderedPageBreak/>
        <w:t>Para el análisis estadístico los datos se extrajeron de las historias clínicas</w:t>
      </w:r>
      <w:r>
        <w:rPr>
          <w:rFonts w:ascii="Arial" w:hAnsi="Arial"/>
          <w:sz w:val="24"/>
          <w:szCs w:val="24"/>
          <w:lang w:val="es-US"/>
        </w:rPr>
        <w:t xml:space="preserve">. </w:t>
      </w:r>
      <w:r w:rsidRPr="005E6150">
        <w:rPr>
          <w:rFonts w:ascii="Arial" w:hAnsi="Arial"/>
          <w:sz w:val="24"/>
          <w:szCs w:val="24"/>
          <w:lang w:val="es-US"/>
        </w:rPr>
        <w:t xml:space="preserve">Se recopilaron las variables categóricas descritas y se almacenó en formato digital con el programa estadístico SPSS 23®. Los resultados fueron presentados en tablas y </w:t>
      </w:r>
      <w:r>
        <w:rPr>
          <w:rFonts w:ascii="Arial" w:hAnsi="Arial"/>
          <w:sz w:val="24"/>
          <w:szCs w:val="24"/>
          <w:lang w:val="es-US"/>
        </w:rPr>
        <w:t>figuras</w:t>
      </w:r>
      <w:r w:rsidRPr="005E6150">
        <w:rPr>
          <w:rFonts w:ascii="Arial" w:hAnsi="Arial"/>
          <w:sz w:val="24"/>
          <w:szCs w:val="24"/>
          <w:lang w:val="es-US"/>
        </w:rPr>
        <w:t>, expresados en porcentaje y números enteros.</w:t>
      </w:r>
    </w:p>
    <w:p w14:paraId="476E81E9" w14:textId="62D71393" w:rsidR="005E6150" w:rsidRDefault="00A02B21" w:rsidP="00BE2529">
      <w:pPr>
        <w:spacing w:line="360" w:lineRule="auto"/>
        <w:jc w:val="both"/>
        <w:rPr>
          <w:rFonts w:ascii="Arial" w:hAnsi="Arial"/>
          <w:sz w:val="24"/>
          <w:szCs w:val="24"/>
          <w:lang w:val="es-US"/>
        </w:rPr>
      </w:pPr>
      <w:r w:rsidRPr="00BE2529">
        <w:rPr>
          <w:rFonts w:ascii="Arial" w:hAnsi="Arial"/>
          <w:sz w:val="24"/>
          <w:szCs w:val="24"/>
          <w:lang w:val="es-US"/>
        </w:rPr>
        <w:t>La investigación se diseñó y ejecutó según los principios éticos para la</w:t>
      </w:r>
      <w:r w:rsidR="007F793A">
        <w:rPr>
          <w:rFonts w:ascii="Arial" w:hAnsi="Arial"/>
          <w:sz w:val="24"/>
          <w:szCs w:val="24"/>
          <w:lang w:val="es-US"/>
        </w:rPr>
        <w:t xml:space="preserve"> </w:t>
      </w:r>
      <w:r w:rsidRPr="00BE2529">
        <w:rPr>
          <w:rFonts w:ascii="Arial" w:hAnsi="Arial"/>
          <w:sz w:val="24"/>
          <w:szCs w:val="24"/>
          <w:lang w:val="es-US"/>
        </w:rPr>
        <w:t xml:space="preserve">investigación médica con sujetos humanos. </w:t>
      </w:r>
      <w:r w:rsidR="005E6150">
        <w:rPr>
          <w:rFonts w:ascii="Arial" w:hAnsi="Arial"/>
          <w:sz w:val="24"/>
          <w:szCs w:val="24"/>
          <w:lang w:val="es-US"/>
        </w:rPr>
        <w:t>Los protocolos de tratamiento establecidos según las guías de actuación cubana y guías internacionales fueron</w:t>
      </w:r>
      <w:r w:rsidRPr="00BE2529">
        <w:rPr>
          <w:rFonts w:ascii="Arial" w:hAnsi="Arial"/>
          <w:sz w:val="24"/>
          <w:szCs w:val="24"/>
          <w:lang w:val="es-US"/>
        </w:rPr>
        <w:t xml:space="preserve"> aplicados</w:t>
      </w:r>
      <w:r w:rsidR="007F793A">
        <w:rPr>
          <w:rFonts w:ascii="Arial" w:hAnsi="Arial"/>
          <w:sz w:val="24"/>
          <w:szCs w:val="24"/>
          <w:lang w:val="es-US"/>
        </w:rPr>
        <w:t xml:space="preserve"> </w:t>
      </w:r>
      <w:r w:rsidRPr="00BE2529">
        <w:rPr>
          <w:rFonts w:ascii="Arial" w:hAnsi="Arial"/>
          <w:sz w:val="24"/>
          <w:szCs w:val="24"/>
          <w:lang w:val="es-US"/>
        </w:rPr>
        <w:t xml:space="preserve">a los pacientes </w:t>
      </w:r>
      <w:r w:rsidR="005E6150">
        <w:rPr>
          <w:rFonts w:ascii="Arial" w:hAnsi="Arial"/>
          <w:sz w:val="24"/>
          <w:szCs w:val="24"/>
          <w:lang w:val="es-US"/>
        </w:rPr>
        <w:t>se explicaron desde el inicio de la investigación</w:t>
      </w:r>
      <w:r w:rsidRPr="00BE2529">
        <w:rPr>
          <w:rFonts w:ascii="Arial" w:hAnsi="Arial"/>
          <w:sz w:val="24"/>
          <w:szCs w:val="24"/>
          <w:lang w:val="es-US"/>
        </w:rPr>
        <w:t xml:space="preserve"> </w:t>
      </w:r>
      <w:r w:rsidR="005E6150">
        <w:rPr>
          <w:rFonts w:ascii="Arial" w:hAnsi="Arial"/>
          <w:sz w:val="24"/>
          <w:szCs w:val="24"/>
          <w:lang w:val="es-US"/>
        </w:rPr>
        <w:t>y</w:t>
      </w:r>
      <w:r w:rsidRPr="00BE2529">
        <w:rPr>
          <w:rFonts w:ascii="Arial" w:hAnsi="Arial"/>
          <w:sz w:val="24"/>
          <w:szCs w:val="24"/>
          <w:lang w:val="es-US"/>
        </w:rPr>
        <w:t xml:space="preserve"> cuando hubo que realizar algún</w:t>
      </w:r>
      <w:r w:rsidR="007F793A">
        <w:rPr>
          <w:rFonts w:ascii="Arial" w:hAnsi="Arial"/>
          <w:sz w:val="24"/>
          <w:szCs w:val="24"/>
          <w:lang w:val="es-US"/>
        </w:rPr>
        <w:t xml:space="preserve"> </w:t>
      </w:r>
      <w:r w:rsidRPr="00BE2529">
        <w:rPr>
          <w:rFonts w:ascii="Arial" w:hAnsi="Arial"/>
          <w:sz w:val="24"/>
          <w:szCs w:val="24"/>
          <w:lang w:val="es-US"/>
        </w:rPr>
        <w:t>cambio en el tratamiento, con el consentimiento informado habilitado para</w:t>
      </w:r>
      <w:r w:rsidR="007F793A">
        <w:rPr>
          <w:rFonts w:ascii="Arial" w:hAnsi="Arial"/>
          <w:sz w:val="24"/>
          <w:szCs w:val="24"/>
          <w:lang w:val="es-US"/>
        </w:rPr>
        <w:t xml:space="preserve"> </w:t>
      </w:r>
      <w:r w:rsidRPr="00BE2529">
        <w:rPr>
          <w:rFonts w:ascii="Arial" w:hAnsi="Arial"/>
          <w:sz w:val="24"/>
          <w:szCs w:val="24"/>
          <w:lang w:val="es-US"/>
        </w:rPr>
        <w:t>ello. De ahí que no fuera necesario solicitar un consentimiento informado al</w:t>
      </w:r>
      <w:r w:rsidR="007F793A">
        <w:rPr>
          <w:rFonts w:ascii="Arial" w:hAnsi="Arial"/>
          <w:sz w:val="24"/>
          <w:szCs w:val="24"/>
          <w:lang w:val="es-US"/>
        </w:rPr>
        <w:t xml:space="preserve"> </w:t>
      </w:r>
      <w:r w:rsidRPr="00BE2529">
        <w:rPr>
          <w:rFonts w:ascii="Arial" w:hAnsi="Arial"/>
          <w:sz w:val="24"/>
          <w:szCs w:val="24"/>
          <w:lang w:val="es-US"/>
        </w:rPr>
        <w:t>paciente para esta investigación.</w:t>
      </w:r>
    </w:p>
    <w:p w14:paraId="0ACE0ABF" w14:textId="55379505" w:rsidR="00540B1E" w:rsidRDefault="00540B1E" w:rsidP="00BE2529">
      <w:pPr>
        <w:spacing w:line="360" w:lineRule="auto"/>
        <w:jc w:val="both"/>
        <w:rPr>
          <w:rFonts w:ascii="Arial" w:hAnsi="Arial"/>
          <w:b/>
          <w:bCs/>
          <w:sz w:val="24"/>
          <w:szCs w:val="24"/>
          <w:lang w:val="es-US"/>
        </w:rPr>
      </w:pPr>
      <w:r w:rsidRPr="00BE2529">
        <w:rPr>
          <w:rFonts w:ascii="Arial" w:hAnsi="Arial"/>
          <w:b/>
          <w:bCs/>
          <w:sz w:val="24"/>
          <w:szCs w:val="24"/>
          <w:lang w:val="es-US"/>
        </w:rPr>
        <w:t>Resultados</w:t>
      </w:r>
    </w:p>
    <w:p w14:paraId="505CD435" w14:textId="332A138F" w:rsidR="007A1764" w:rsidRPr="007A1764" w:rsidRDefault="007A1764" w:rsidP="00BE2529">
      <w:pPr>
        <w:spacing w:line="360" w:lineRule="auto"/>
        <w:jc w:val="both"/>
        <w:rPr>
          <w:rFonts w:ascii="Arial" w:hAnsi="Arial"/>
          <w:sz w:val="24"/>
          <w:szCs w:val="24"/>
          <w:lang w:val="es-US"/>
        </w:rPr>
      </w:pPr>
      <w:r>
        <w:rPr>
          <w:rFonts w:ascii="Arial" w:hAnsi="Arial"/>
          <w:sz w:val="24"/>
          <w:szCs w:val="24"/>
          <w:lang w:val="es-US"/>
        </w:rPr>
        <w:t xml:space="preserve">En la figura que aparece a continuación se aprecia </w:t>
      </w:r>
      <w:proofErr w:type="gramStart"/>
      <w:r>
        <w:rPr>
          <w:rFonts w:ascii="Arial" w:hAnsi="Arial"/>
          <w:sz w:val="24"/>
          <w:szCs w:val="24"/>
          <w:lang w:val="es-US"/>
        </w:rPr>
        <w:t>que</w:t>
      </w:r>
      <w:proofErr w:type="gramEnd"/>
      <w:r w:rsidRPr="00BE2529">
        <w:rPr>
          <w:rFonts w:ascii="Arial" w:hAnsi="Arial"/>
          <w:sz w:val="24"/>
          <w:szCs w:val="24"/>
          <w:lang w:val="es-US"/>
        </w:rPr>
        <w:t xml:space="preserve"> de 969 pacientes con cáncer de mama tratadas de nuestra institución, correspondi</w:t>
      </w:r>
      <w:r>
        <w:rPr>
          <w:rFonts w:ascii="Arial" w:hAnsi="Arial"/>
          <w:sz w:val="24"/>
          <w:szCs w:val="24"/>
          <w:lang w:val="es-US"/>
        </w:rPr>
        <w:t>eron</w:t>
      </w:r>
      <w:r w:rsidRPr="00BE2529">
        <w:rPr>
          <w:rFonts w:ascii="Arial" w:hAnsi="Arial"/>
          <w:sz w:val="24"/>
          <w:szCs w:val="24"/>
          <w:lang w:val="es-US"/>
        </w:rPr>
        <w:t xml:space="preserve"> al inmunofenotipo tumoral Luminal A 195 de ellas, </w:t>
      </w:r>
      <w:r>
        <w:rPr>
          <w:rFonts w:ascii="Arial" w:hAnsi="Arial"/>
          <w:sz w:val="24"/>
          <w:szCs w:val="24"/>
          <w:lang w:val="es-US"/>
        </w:rPr>
        <w:t>que representó</w:t>
      </w:r>
      <w:r w:rsidRPr="00BE2529">
        <w:rPr>
          <w:rFonts w:ascii="Arial" w:hAnsi="Arial"/>
          <w:sz w:val="24"/>
          <w:szCs w:val="24"/>
          <w:lang w:val="es-US"/>
        </w:rPr>
        <w:t xml:space="preserve"> </w:t>
      </w:r>
      <w:r>
        <w:rPr>
          <w:rFonts w:ascii="Arial" w:hAnsi="Arial"/>
          <w:sz w:val="24"/>
          <w:szCs w:val="24"/>
          <w:lang w:val="es-US"/>
        </w:rPr>
        <w:t>La quinta parte</w:t>
      </w:r>
      <w:r w:rsidRPr="00BE2529">
        <w:rPr>
          <w:rFonts w:ascii="Arial" w:hAnsi="Arial"/>
          <w:sz w:val="24"/>
          <w:szCs w:val="24"/>
          <w:lang w:val="es-US"/>
        </w:rPr>
        <w:t xml:space="preserve"> de la población tratada. Se debe tener en cuenta que las pacientes con inmunofenotipo desconocido represent</w:t>
      </w:r>
      <w:r>
        <w:rPr>
          <w:rFonts w:ascii="Arial" w:hAnsi="Arial"/>
          <w:sz w:val="24"/>
          <w:szCs w:val="24"/>
          <w:lang w:val="es-US"/>
        </w:rPr>
        <w:t>aron</w:t>
      </w:r>
      <w:r w:rsidRPr="00BE2529">
        <w:rPr>
          <w:rFonts w:ascii="Arial" w:hAnsi="Arial"/>
          <w:sz w:val="24"/>
          <w:szCs w:val="24"/>
          <w:lang w:val="es-US"/>
        </w:rPr>
        <w:t xml:space="preserve"> el 33.4% lo que pudiera modificar las estadísticas si se contara con el resultado inmunohistoquímico de este grupo.</w:t>
      </w:r>
    </w:p>
    <w:p w14:paraId="291A6441" w14:textId="77777777" w:rsidR="00A02B21" w:rsidRPr="00BE2529" w:rsidRDefault="00A02B21" w:rsidP="00BE2529">
      <w:pPr>
        <w:spacing w:line="360" w:lineRule="auto"/>
        <w:jc w:val="both"/>
        <w:rPr>
          <w:rFonts w:ascii="Arial" w:hAnsi="Arial"/>
          <w:sz w:val="24"/>
          <w:szCs w:val="24"/>
          <w:lang w:val="es-US"/>
        </w:rPr>
      </w:pPr>
      <w:r w:rsidRPr="00BE2529">
        <w:rPr>
          <w:rFonts w:ascii="Arial" w:hAnsi="Arial"/>
          <w:noProof/>
          <w:sz w:val="24"/>
          <w:szCs w:val="24"/>
          <w:lang w:val="es-ES" w:eastAsia="es-ES"/>
        </w:rPr>
        <w:drawing>
          <wp:inline distT="0" distB="0" distL="0" distR="0" wp14:anchorId="1BECCB23" wp14:editId="143A3AEE">
            <wp:extent cx="5746750" cy="24130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2F266E" w14:textId="48612AAE" w:rsidR="007A1764" w:rsidRDefault="007A1764" w:rsidP="007A1764">
      <w:pPr>
        <w:spacing w:line="360" w:lineRule="auto"/>
        <w:jc w:val="both"/>
        <w:rPr>
          <w:rFonts w:ascii="Arial" w:hAnsi="Arial"/>
          <w:sz w:val="24"/>
          <w:szCs w:val="24"/>
          <w:lang w:val="es-US"/>
        </w:rPr>
      </w:pPr>
      <w:r>
        <w:rPr>
          <w:rFonts w:ascii="Arial" w:hAnsi="Arial"/>
          <w:b/>
          <w:bCs/>
          <w:sz w:val="24"/>
          <w:szCs w:val="24"/>
          <w:lang w:val="es-US"/>
        </w:rPr>
        <w:lastRenderedPageBreak/>
        <w:t>Figura</w:t>
      </w:r>
      <w:r w:rsidRPr="00BE2529">
        <w:rPr>
          <w:rFonts w:ascii="Arial" w:hAnsi="Arial"/>
          <w:b/>
          <w:bCs/>
          <w:sz w:val="24"/>
          <w:szCs w:val="24"/>
          <w:lang w:val="es-US"/>
        </w:rPr>
        <w:t xml:space="preserve"> 1</w:t>
      </w:r>
      <w:r>
        <w:rPr>
          <w:rFonts w:ascii="Arial" w:hAnsi="Arial"/>
          <w:b/>
          <w:bCs/>
          <w:sz w:val="24"/>
          <w:szCs w:val="24"/>
          <w:lang w:val="es-US"/>
        </w:rPr>
        <w:t>.</w:t>
      </w:r>
      <w:r w:rsidRPr="00BE2529">
        <w:rPr>
          <w:rFonts w:ascii="Arial" w:hAnsi="Arial"/>
          <w:sz w:val="24"/>
          <w:szCs w:val="24"/>
          <w:lang w:val="es-US"/>
        </w:rPr>
        <w:t xml:space="preserve"> Pacientes con cáncer de mama según inmunofenotipo tumoral en Matanzas. 2016-2020. (n=969)</w:t>
      </w:r>
    </w:p>
    <w:p w14:paraId="52AF41A2" w14:textId="4706ABF7" w:rsidR="007A1764" w:rsidRPr="00BE2529" w:rsidRDefault="007A1764" w:rsidP="007A1764">
      <w:pPr>
        <w:spacing w:line="360" w:lineRule="auto"/>
        <w:jc w:val="both"/>
        <w:rPr>
          <w:rFonts w:ascii="Arial" w:hAnsi="Arial"/>
          <w:sz w:val="24"/>
          <w:szCs w:val="24"/>
          <w:lang w:val="es-US"/>
        </w:rPr>
      </w:pPr>
      <w:r w:rsidRPr="00BE2529">
        <w:rPr>
          <w:rFonts w:ascii="Arial" w:hAnsi="Arial"/>
          <w:sz w:val="24"/>
          <w:szCs w:val="24"/>
          <w:lang w:val="es-US"/>
        </w:rPr>
        <w:t xml:space="preserve">De un total de 195 pacientes con inmunofenotipo tumoral Luminal A </w:t>
      </w:r>
      <w:r>
        <w:rPr>
          <w:rFonts w:ascii="Arial" w:hAnsi="Arial"/>
          <w:sz w:val="24"/>
          <w:szCs w:val="24"/>
          <w:lang w:val="es-US"/>
        </w:rPr>
        <w:t xml:space="preserve">no </w:t>
      </w:r>
      <w:r w:rsidRPr="00BE2529">
        <w:rPr>
          <w:rFonts w:ascii="Arial" w:hAnsi="Arial"/>
          <w:sz w:val="24"/>
          <w:szCs w:val="24"/>
          <w:lang w:val="es-US"/>
        </w:rPr>
        <w:t>recibi</w:t>
      </w:r>
      <w:r>
        <w:rPr>
          <w:rFonts w:ascii="Arial" w:hAnsi="Arial"/>
          <w:sz w:val="24"/>
          <w:szCs w:val="24"/>
          <w:lang w:val="es-US"/>
        </w:rPr>
        <w:t>eron</w:t>
      </w:r>
      <w:r w:rsidRPr="00BE2529">
        <w:rPr>
          <w:rFonts w:ascii="Arial" w:hAnsi="Arial"/>
          <w:sz w:val="24"/>
          <w:szCs w:val="24"/>
          <w:lang w:val="es-US"/>
        </w:rPr>
        <w:t xml:space="preserve"> tratamiento </w:t>
      </w:r>
      <w:r>
        <w:rPr>
          <w:rFonts w:ascii="Arial" w:hAnsi="Arial"/>
          <w:sz w:val="24"/>
          <w:szCs w:val="24"/>
          <w:lang w:val="es-US"/>
        </w:rPr>
        <w:t>de precisión</w:t>
      </w:r>
      <w:r w:rsidRPr="00BE2529">
        <w:rPr>
          <w:rFonts w:ascii="Arial" w:hAnsi="Arial"/>
          <w:sz w:val="24"/>
          <w:szCs w:val="24"/>
          <w:lang w:val="es-US"/>
        </w:rPr>
        <w:t xml:space="preserve"> </w:t>
      </w:r>
      <w:r>
        <w:rPr>
          <w:rFonts w:ascii="Arial" w:hAnsi="Arial"/>
          <w:sz w:val="24"/>
          <w:szCs w:val="24"/>
          <w:lang w:val="es-US"/>
        </w:rPr>
        <w:t>de acuerdo a normas oncológicas las dos terceras partes de la muestra.</w:t>
      </w:r>
    </w:p>
    <w:p w14:paraId="578DBE7A" w14:textId="067BDE90" w:rsidR="007A1764" w:rsidRDefault="00A02B21" w:rsidP="007A1764">
      <w:pPr>
        <w:spacing w:after="0" w:line="360" w:lineRule="auto"/>
        <w:jc w:val="both"/>
        <w:rPr>
          <w:rFonts w:ascii="Arial" w:hAnsi="Arial"/>
          <w:sz w:val="24"/>
          <w:szCs w:val="24"/>
          <w:lang w:val="es-US"/>
        </w:rPr>
      </w:pPr>
      <w:r w:rsidRPr="00BE2529">
        <w:rPr>
          <w:rFonts w:ascii="Arial" w:hAnsi="Arial"/>
          <w:b/>
          <w:bCs/>
          <w:sz w:val="24"/>
          <w:szCs w:val="24"/>
          <w:lang w:val="es-US"/>
        </w:rPr>
        <w:t>Tabla 1.</w:t>
      </w:r>
      <w:r w:rsidRPr="00BE2529">
        <w:rPr>
          <w:rFonts w:ascii="Arial" w:hAnsi="Arial"/>
          <w:sz w:val="24"/>
          <w:szCs w:val="24"/>
          <w:lang w:val="es-US"/>
        </w:rPr>
        <w:t xml:space="preserve"> Relación entre inmunofenotipo tumoral Luminal A y tratamiento </w:t>
      </w:r>
      <w:r w:rsidR="00E571E8">
        <w:rPr>
          <w:rFonts w:ascii="Arial" w:hAnsi="Arial"/>
          <w:sz w:val="24"/>
          <w:szCs w:val="24"/>
          <w:lang w:val="es-US"/>
        </w:rPr>
        <w:t>de precisión,</w:t>
      </w:r>
      <w:r w:rsidRPr="00BE2529">
        <w:rPr>
          <w:rFonts w:ascii="Arial" w:hAnsi="Arial"/>
          <w:sz w:val="24"/>
          <w:szCs w:val="24"/>
          <w:lang w:val="es-US"/>
        </w:rPr>
        <w:t xml:space="preserve"> según el año de diagnóstico. (n=969)</w:t>
      </w:r>
    </w:p>
    <w:tbl>
      <w:tblPr>
        <w:tblW w:w="8362" w:type="dxa"/>
        <w:tblCellSpacing w:w="20" w:type="dxa"/>
        <w:tblInd w:w="8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77"/>
        <w:gridCol w:w="1183"/>
        <w:gridCol w:w="1030"/>
        <w:gridCol w:w="1157"/>
        <w:gridCol w:w="1219"/>
        <w:gridCol w:w="1157"/>
        <w:gridCol w:w="1239"/>
      </w:tblGrid>
      <w:tr w:rsidR="00386410" w:rsidRPr="00FF27FA" w14:paraId="343C5A12" w14:textId="2F452B0B" w:rsidTr="00386410">
        <w:trPr>
          <w:trHeight w:val="431"/>
          <w:tblCellSpacing w:w="20" w:type="dxa"/>
        </w:trPr>
        <w:tc>
          <w:tcPr>
            <w:tcW w:w="1317" w:type="dxa"/>
            <w:vMerge w:val="restart"/>
            <w:tcBorders>
              <w:top w:val="outset" w:sz="6" w:space="0" w:color="auto"/>
              <w:left w:val="outset" w:sz="6" w:space="0" w:color="auto"/>
              <w:right w:val="outset" w:sz="6" w:space="0" w:color="auto"/>
            </w:tcBorders>
            <w:shd w:val="clear" w:color="auto" w:fill="auto"/>
          </w:tcPr>
          <w:p w14:paraId="383C3C79" w14:textId="0926CDB5" w:rsidR="00386410" w:rsidRPr="00FF27FA" w:rsidRDefault="00386410" w:rsidP="002D2E38">
            <w:pPr>
              <w:autoSpaceDE w:val="0"/>
              <w:autoSpaceDN w:val="0"/>
              <w:adjustRightInd w:val="0"/>
              <w:spacing w:line="240" w:lineRule="auto"/>
              <w:jc w:val="both"/>
              <w:rPr>
                <w:rFonts w:ascii="Verdana" w:hAnsi="Verdana"/>
                <w:sz w:val="24"/>
                <w:szCs w:val="24"/>
                <w:lang w:val="es-ES"/>
              </w:rPr>
            </w:pPr>
            <w:r>
              <w:rPr>
                <w:rFonts w:ascii="Verdana" w:hAnsi="Verdana"/>
                <w:sz w:val="24"/>
                <w:szCs w:val="24"/>
                <w:lang w:val="es-ES"/>
              </w:rPr>
              <w:t>Año de diagnóstico</w:t>
            </w:r>
          </w:p>
        </w:tc>
        <w:tc>
          <w:tcPr>
            <w:tcW w:w="1143" w:type="dxa"/>
            <w:vMerge w:val="restart"/>
            <w:tcBorders>
              <w:top w:val="outset" w:sz="6" w:space="0" w:color="auto"/>
              <w:left w:val="outset" w:sz="6" w:space="0" w:color="auto"/>
              <w:right w:val="outset" w:sz="6" w:space="0" w:color="auto"/>
            </w:tcBorders>
            <w:shd w:val="clear" w:color="auto" w:fill="auto"/>
          </w:tcPr>
          <w:p w14:paraId="79E8ACF8" w14:textId="06E3129B" w:rsidR="00386410" w:rsidRPr="00FF27FA" w:rsidRDefault="00386410" w:rsidP="002D2E38">
            <w:pPr>
              <w:autoSpaceDE w:val="0"/>
              <w:autoSpaceDN w:val="0"/>
              <w:adjustRightInd w:val="0"/>
              <w:spacing w:line="240" w:lineRule="auto"/>
              <w:jc w:val="both"/>
              <w:rPr>
                <w:rFonts w:ascii="Verdana" w:hAnsi="Verdana"/>
                <w:sz w:val="24"/>
                <w:szCs w:val="24"/>
                <w:lang w:val="es-ES"/>
              </w:rPr>
            </w:pPr>
            <w:proofErr w:type="gramStart"/>
            <w:r>
              <w:rPr>
                <w:rFonts w:ascii="Verdana" w:hAnsi="Verdana"/>
                <w:sz w:val="24"/>
                <w:szCs w:val="24"/>
                <w:lang w:val="es-ES"/>
              </w:rPr>
              <w:t>Total</w:t>
            </w:r>
            <w:proofErr w:type="gramEnd"/>
            <w:r>
              <w:rPr>
                <w:rFonts w:ascii="Verdana" w:hAnsi="Verdana"/>
                <w:sz w:val="24"/>
                <w:szCs w:val="24"/>
                <w:lang w:val="es-ES"/>
              </w:rPr>
              <w:t xml:space="preserve"> de pacientes</w:t>
            </w:r>
          </w:p>
        </w:tc>
        <w:tc>
          <w:tcPr>
            <w:tcW w:w="990" w:type="dxa"/>
            <w:vMerge w:val="restart"/>
            <w:tcBorders>
              <w:top w:val="outset" w:sz="6" w:space="0" w:color="auto"/>
              <w:left w:val="outset" w:sz="6" w:space="0" w:color="auto"/>
              <w:right w:val="outset" w:sz="6" w:space="0" w:color="auto"/>
            </w:tcBorders>
          </w:tcPr>
          <w:p w14:paraId="6E409D14" w14:textId="30FF46B7" w:rsidR="00386410" w:rsidRPr="00FF27FA" w:rsidRDefault="00386410" w:rsidP="002D2E38">
            <w:pPr>
              <w:autoSpaceDE w:val="0"/>
              <w:autoSpaceDN w:val="0"/>
              <w:adjustRightInd w:val="0"/>
              <w:spacing w:line="240" w:lineRule="auto"/>
              <w:jc w:val="both"/>
              <w:rPr>
                <w:rFonts w:ascii="Verdana" w:hAnsi="Verdana"/>
                <w:sz w:val="24"/>
                <w:szCs w:val="24"/>
                <w:lang w:val="es-ES"/>
              </w:rPr>
            </w:pPr>
            <w:r>
              <w:rPr>
                <w:rFonts w:ascii="Verdana" w:hAnsi="Verdana"/>
                <w:sz w:val="24"/>
                <w:szCs w:val="24"/>
                <w:lang w:val="es-ES"/>
              </w:rPr>
              <w:t>Tipo Luminal A</w:t>
            </w:r>
          </w:p>
        </w:tc>
        <w:tc>
          <w:tcPr>
            <w:tcW w:w="4712" w:type="dxa"/>
            <w:gridSpan w:val="4"/>
            <w:tcBorders>
              <w:top w:val="outset" w:sz="6" w:space="0" w:color="auto"/>
              <w:left w:val="outset" w:sz="6" w:space="0" w:color="auto"/>
              <w:bottom w:val="outset" w:sz="6" w:space="0" w:color="auto"/>
              <w:right w:val="outset" w:sz="6" w:space="0" w:color="auto"/>
            </w:tcBorders>
          </w:tcPr>
          <w:p w14:paraId="055E24F2" w14:textId="3E25A612" w:rsidR="00386410" w:rsidRDefault="00386410" w:rsidP="002D2E38">
            <w:pPr>
              <w:autoSpaceDE w:val="0"/>
              <w:autoSpaceDN w:val="0"/>
              <w:adjustRightInd w:val="0"/>
              <w:spacing w:line="240" w:lineRule="auto"/>
              <w:jc w:val="both"/>
              <w:rPr>
                <w:rFonts w:ascii="Verdana" w:hAnsi="Verdana"/>
                <w:sz w:val="24"/>
                <w:szCs w:val="24"/>
                <w:lang w:val="es-ES"/>
              </w:rPr>
            </w:pPr>
            <w:r>
              <w:rPr>
                <w:rFonts w:ascii="Verdana" w:hAnsi="Verdana"/>
                <w:sz w:val="24"/>
                <w:szCs w:val="24"/>
                <w:lang w:val="es-ES"/>
              </w:rPr>
              <w:t>Tratamiento de precisión</w:t>
            </w:r>
          </w:p>
        </w:tc>
      </w:tr>
      <w:tr w:rsidR="00386410" w:rsidRPr="00FF27FA" w14:paraId="626D7314" w14:textId="07BC0A58" w:rsidTr="00386410">
        <w:trPr>
          <w:trHeight w:val="431"/>
          <w:tblCellSpacing w:w="20" w:type="dxa"/>
        </w:trPr>
        <w:tc>
          <w:tcPr>
            <w:tcW w:w="1317" w:type="dxa"/>
            <w:vMerge/>
            <w:tcBorders>
              <w:left w:val="outset" w:sz="6" w:space="0" w:color="auto"/>
              <w:right w:val="outset" w:sz="6" w:space="0" w:color="auto"/>
            </w:tcBorders>
            <w:shd w:val="clear" w:color="auto" w:fill="auto"/>
          </w:tcPr>
          <w:p w14:paraId="0A583205" w14:textId="77777777" w:rsidR="00386410" w:rsidRPr="00FF27FA" w:rsidRDefault="00386410" w:rsidP="002D2E38">
            <w:pPr>
              <w:autoSpaceDE w:val="0"/>
              <w:autoSpaceDN w:val="0"/>
              <w:adjustRightInd w:val="0"/>
              <w:spacing w:line="240" w:lineRule="auto"/>
              <w:jc w:val="both"/>
              <w:rPr>
                <w:rFonts w:ascii="Verdana" w:hAnsi="Verdana"/>
                <w:sz w:val="24"/>
                <w:szCs w:val="24"/>
                <w:lang w:val="es-ES"/>
              </w:rPr>
            </w:pPr>
          </w:p>
        </w:tc>
        <w:tc>
          <w:tcPr>
            <w:tcW w:w="1143" w:type="dxa"/>
            <w:vMerge/>
            <w:tcBorders>
              <w:left w:val="outset" w:sz="6" w:space="0" w:color="auto"/>
              <w:right w:val="outset" w:sz="6" w:space="0" w:color="auto"/>
            </w:tcBorders>
            <w:shd w:val="clear" w:color="auto" w:fill="auto"/>
          </w:tcPr>
          <w:p w14:paraId="7483963F" w14:textId="77777777" w:rsidR="00386410" w:rsidRPr="00FF27FA" w:rsidRDefault="00386410" w:rsidP="002D2E38">
            <w:pPr>
              <w:autoSpaceDE w:val="0"/>
              <w:autoSpaceDN w:val="0"/>
              <w:adjustRightInd w:val="0"/>
              <w:spacing w:line="240" w:lineRule="auto"/>
              <w:jc w:val="both"/>
              <w:rPr>
                <w:rFonts w:ascii="Verdana" w:hAnsi="Verdana"/>
                <w:sz w:val="24"/>
                <w:szCs w:val="24"/>
                <w:lang w:val="es-ES"/>
              </w:rPr>
            </w:pPr>
          </w:p>
        </w:tc>
        <w:tc>
          <w:tcPr>
            <w:tcW w:w="990" w:type="dxa"/>
            <w:vMerge/>
            <w:tcBorders>
              <w:left w:val="outset" w:sz="6" w:space="0" w:color="auto"/>
              <w:right w:val="outset" w:sz="6" w:space="0" w:color="auto"/>
            </w:tcBorders>
          </w:tcPr>
          <w:p w14:paraId="7727E412" w14:textId="77777777" w:rsidR="00386410" w:rsidRPr="00FF27FA" w:rsidRDefault="00386410" w:rsidP="002D2E38">
            <w:pPr>
              <w:autoSpaceDE w:val="0"/>
              <w:autoSpaceDN w:val="0"/>
              <w:adjustRightInd w:val="0"/>
              <w:spacing w:line="240" w:lineRule="auto"/>
              <w:jc w:val="both"/>
              <w:rPr>
                <w:rFonts w:ascii="Verdana" w:hAnsi="Verdana"/>
                <w:sz w:val="24"/>
                <w:szCs w:val="24"/>
                <w:lang w:val="es-ES"/>
              </w:rPr>
            </w:pPr>
          </w:p>
        </w:tc>
        <w:tc>
          <w:tcPr>
            <w:tcW w:w="2336" w:type="dxa"/>
            <w:gridSpan w:val="2"/>
            <w:tcBorders>
              <w:top w:val="outset" w:sz="6" w:space="0" w:color="auto"/>
              <w:left w:val="outset" w:sz="6" w:space="0" w:color="auto"/>
              <w:bottom w:val="outset" w:sz="6" w:space="0" w:color="auto"/>
              <w:right w:val="outset" w:sz="6" w:space="0" w:color="auto"/>
            </w:tcBorders>
          </w:tcPr>
          <w:p w14:paraId="53E58ECF" w14:textId="486F60C0" w:rsidR="00386410" w:rsidRPr="00FF27FA" w:rsidRDefault="00386410" w:rsidP="002D2E38">
            <w:pPr>
              <w:autoSpaceDE w:val="0"/>
              <w:autoSpaceDN w:val="0"/>
              <w:adjustRightInd w:val="0"/>
              <w:spacing w:line="240" w:lineRule="auto"/>
              <w:jc w:val="both"/>
              <w:rPr>
                <w:rFonts w:ascii="Verdana" w:hAnsi="Verdana"/>
                <w:sz w:val="24"/>
                <w:szCs w:val="24"/>
                <w:lang w:val="es-ES"/>
              </w:rPr>
            </w:pPr>
            <w:r>
              <w:rPr>
                <w:rFonts w:ascii="Verdana" w:hAnsi="Verdana"/>
                <w:sz w:val="24"/>
                <w:szCs w:val="24"/>
                <w:lang w:val="es-ES"/>
              </w:rPr>
              <w:t xml:space="preserve">Si </w:t>
            </w:r>
          </w:p>
        </w:tc>
        <w:tc>
          <w:tcPr>
            <w:tcW w:w="2336" w:type="dxa"/>
            <w:gridSpan w:val="2"/>
            <w:tcBorders>
              <w:top w:val="outset" w:sz="6" w:space="0" w:color="auto"/>
              <w:left w:val="outset" w:sz="6" w:space="0" w:color="auto"/>
              <w:bottom w:val="outset" w:sz="6" w:space="0" w:color="auto"/>
              <w:right w:val="outset" w:sz="6" w:space="0" w:color="auto"/>
            </w:tcBorders>
          </w:tcPr>
          <w:p w14:paraId="4AFF31B7" w14:textId="4032FEEE" w:rsidR="00386410" w:rsidRPr="00FF27FA" w:rsidRDefault="00386410" w:rsidP="002D2E38">
            <w:pPr>
              <w:autoSpaceDE w:val="0"/>
              <w:autoSpaceDN w:val="0"/>
              <w:adjustRightInd w:val="0"/>
              <w:spacing w:line="240" w:lineRule="auto"/>
              <w:jc w:val="both"/>
              <w:rPr>
                <w:rFonts w:ascii="Verdana" w:hAnsi="Verdana"/>
                <w:sz w:val="24"/>
                <w:szCs w:val="24"/>
                <w:lang w:val="es-ES"/>
              </w:rPr>
            </w:pPr>
            <w:r>
              <w:rPr>
                <w:rFonts w:ascii="Verdana" w:hAnsi="Verdana"/>
                <w:sz w:val="24"/>
                <w:szCs w:val="24"/>
                <w:lang w:val="es-ES"/>
              </w:rPr>
              <w:t>No</w:t>
            </w:r>
          </w:p>
        </w:tc>
      </w:tr>
      <w:tr w:rsidR="00386410" w:rsidRPr="00FF27FA" w14:paraId="5BE4DA80" w14:textId="4B3047E4" w:rsidTr="00386410">
        <w:trPr>
          <w:trHeight w:val="431"/>
          <w:tblCellSpacing w:w="20" w:type="dxa"/>
        </w:trPr>
        <w:tc>
          <w:tcPr>
            <w:tcW w:w="1317" w:type="dxa"/>
            <w:vMerge/>
            <w:tcBorders>
              <w:left w:val="outset" w:sz="6" w:space="0" w:color="auto"/>
              <w:bottom w:val="outset" w:sz="6" w:space="0" w:color="auto"/>
              <w:right w:val="outset" w:sz="6" w:space="0" w:color="auto"/>
            </w:tcBorders>
            <w:shd w:val="clear" w:color="auto" w:fill="auto"/>
          </w:tcPr>
          <w:p w14:paraId="1BE4B11E" w14:textId="77777777" w:rsidR="00386410" w:rsidRPr="00FF27FA" w:rsidRDefault="00386410" w:rsidP="002D2E38">
            <w:pPr>
              <w:autoSpaceDE w:val="0"/>
              <w:autoSpaceDN w:val="0"/>
              <w:adjustRightInd w:val="0"/>
              <w:spacing w:line="240" w:lineRule="auto"/>
              <w:jc w:val="both"/>
              <w:rPr>
                <w:rFonts w:ascii="Verdana" w:hAnsi="Verdana"/>
                <w:sz w:val="24"/>
                <w:szCs w:val="24"/>
                <w:lang w:val="es-ES"/>
              </w:rPr>
            </w:pPr>
          </w:p>
        </w:tc>
        <w:tc>
          <w:tcPr>
            <w:tcW w:w="1143" w:type="dxa"/>
            <w:vMerge/>
            <w:tcBorders>
              <w:left w:val="outset" w:sz="6" w:space="0" w:color="auto"/>
              <w:bottom w:val="outset" w:sz="6" w:space="0" w:color="auto"/>
              <w:right w:val="outset" w:sz="6" w:space="0" w:color="auto"/>
            </w:tcBorders>
            <w:shd w:val="clear" w:color="auto" w:fill="auto"/>
          </w:tcPr>
          <w:p w14:paraId="2F6B8020" w14:textId="77777777" w:rsidR="00386410" w:rsidRPr="00FF27FA" w:rsidRDefault="00386410" w:rsidP="002D2E38">
            <w:pPr>
              <w:autoSpaceDE w:val="0"/>
              <w:autoSpaceDN w:val="0"/>
              <w:adjustRightInd w:val="0"/>
              <w:spacing w:line="240" w:lineRule="auto"/>
              <w:jc w:val="both"/>
              <w:rPr>
                <w:rFonts w:ascii="Verdana" w:hAnsi="Verdana"/>
                <w:sz w:val="24"/>
                <w:szCs w:val="24"/>
                <w:lang w:val="es-ES"/>
              </w:rPr>
            </w:pPr>
          </w:p>
        </w:tc>
        <w:tc>
          <w:tcPr>
            <w:tcW w:w="990" w:type="dxa"/>
            <w:vMerge/>
            <w:tcBorders>
              <w:left w:val="outset" w:sz="6" w:space="0" w:color="auto"/>
              <w:bottom w:val="outset" w:sz="6" w:space="0" w:color="auto"/>
              <w:right w:val="outset" w:sz="6" w:space="0" w:color="auto"/>
            </w:tcBorders>
          </w:tcPr>
          <w:p w14:paraId="4A1F1641" w14:textId="77777777" w:rsidR="00386410" w:rsidRPr="00FF27FA" w:rsidRDefault="00386410" w:rsidP="002D2E38">
            <w:pPr>
              <w:autoSpaceDE w:val="0"/>
              <w:autoSpaceDN w:val="0"/>
              <w:adjustRightInd w:val="0"/>
              <w:spacing w:line="240" w:lineRule="auto"/>
              <w:jc w:val="both"/>
              <w:rPr>
                <w:rFonts w:ascii="Verdana" w:hAnsi="Verdana"/>
                <w:sz w:val="24"/>
                <w:szCs w:val="24"/>
                <w:lang w:val="es-ES"/>
              </w:rPr>
            </w:pPr>
          </w:p>
        </w:tc>
        <w:tc>
          <w:tcPr>
            <w:tcW w:w="1117" w:type="dxa"/>
            <w:tcBorders>
              <w:top w:val="outset" w:sz="6" w:space="0" w:color="auto"/>
              <w:left w:val="outset" w:sz="6" w:space="0" w:color="auto"/>
              <w:bottom w:val="outset" w:sz="6" w:space="0" w:color="auto"/>
              <w:right w:val="outset" w:sz="6" w:space="0" w:color="auto"/>
            </w:tcBorders>
          </w:tcPr>
          <w:p w14:paraId="25A59228" w14:textId="7C22BFFC" w:rsidR="00386410" w:rsidRPr="00FF27FA" w:rsidRDefault="00386410" w:rsidP="002D2E38">
            <w:pPr>
              <w:autoSpaceDE w:val="0"/>
              <w:autoSpaceDN w:val="0"/>
              <w:adjustRightInd w:val="0"/>
              <w:spacing w:line="240" w:lineRule="auto"/>
              <w:jc w:val="both"/>
              <w:rPr>
                <w:rFonts w:ascii="Verdana" w:hAnsi="Verdana"/>
                <w:sz w:val="24"/>
                <w:szCs w:val="24"/>
                <w:lang w:val="es-ES"/>
              </w:rPr>
            </w:pPr>
            <w:r>
              <w:rPr>
                <w:rFonts w:ascii="Arial" w:hAnsi="Arial"/>
                <w:sz w:val="24"/>
                <w:szCs w:val="24"/>
                <w:lang w:val="es-ES"/>
              </w:rPr>
              <w:t>(n- frecuencia absoluta)</w:t>
            </w:r>
          </w:p>
        </w:tc>
        <w:tc>
          <w:tcPr>
            <w:tcW w:w="1179" w:type="dxa"/>
            <w:tcBorders>
              <w:top w:val="outset" w:sz="6" w:space="0" w:color="auto"/>
              <w:left w:val="outset" w:sz="6" w:space="0" w:color="auto"/>
              <w:bottom w:val="outset" w:sz="6" w:space="0" w:color="auto"/>
              <w:right w:val="outset" w:sz="6" w:space="0" w:color="auto"/>
            </w:tcBorders>
          </w:tcPr>
          <w:p w14:paraId="1642E2DA" w14:textId="08E52625" w:rsidR="00386410" w:rsidRPr="00FF27FA" w:rsidRDefault="00386410" w:rsidP="002D2E38">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w:t>
            </w:r>
            <w:r>
              <w:rPr>
                <w:rFonts w:ascii="Arial" w:hAnsi="Arial"/>
                <w:sz w:val="24"/>
                <w:szCs w:val="24"/>
                <w:lang w:val="es-ES"/>
              </w:rPr>
              <w:t xml:space="preserve"> (frecuencia relativa)</w:t>
            </w:r>
          </w:p>
        </w:tc>
        <w:tc>
          <w:tcPr>
            <w:tcW w:w="1117" w:type="dxa"/>
            <w:tcBorders>
              <w:top w:val="outset" w:sz="6" w:space="0" w:color="auto"/>
              <w:left w:val="outset" w:sz="6" w:space="0" w:color="auto"/>
              <w:bottom w:val="outset" w:sz="6" w:space="0" w:color="auto"/>
              <w:right w:val="outset" w:sz="6" w:space="0" w:color="auto"/>
            </w:tcBorders>
          </w:tcPr>
          <w:p w14:paraId="1F0583B0" w14:textId="53FD1A77" w:rsidR="00386410" w:rsidRPr="00FF27FA" w:rsidRDefault="00386410" w:rsidP="002D2E38">
            <w:pPr>
              <w:autoSpaceDE w:val="0"/>
              <w:autoSpaceDN w:val="0"/>
              <w:adjustRightInd w:val="0"/>
              <w:spacing w:line="240" w:lineRule="auto"/>
              <w:jc w:val="both"/>
              <w:rPr>
                <w:rFonts w:ascii="Verdana" w:hAnsi="Verdana"/>
                <w:sz w:val="24"/>
                <w:szCs w:val="24"/>
                <w:lang w:val="es-ES"/>
              </w:rPr>
            </w:pPr>
            <w:r>
              <w:rPr>
                <w:rFonts w:ascii="Arial" w:hAnsi="Arial"/>
                <w:sz w:val="24"/>
                <w:szCs w:val="24"/>
                <w:lang w:val="es-ES"/>
              </w:rPr>
              <w:t>(n- frecuencia absoluta)</w:t>
            </w:r>
          </w:p>
        </w:tc>
        <w:tc>
          <w:tcPr>
            <w:tcW w:w="1179" w:type="dxa"/>
            <w:tcBorders>
              <w:top w:val="outset" w:sz="6" w:space="0" w:color="auto"/>
              <w:left w:val="outset" w:sz="6" w:space="0" w:color="auto"/>
              <w:bottom w:val="outset" w:sz="6" w:space="0" w:color="auto"/>
              <w:right w:val="outset" w:sz="6" w:space="0" w:color="auto"/>
            </w:tcBorders>
          </w:tcPr>
          <w:p w14:paraId="3199BD26" w14:textId="1306ED75" w:rsidR="00386410" w:rsidRPr="00FF27FA" w:rsidRDefault="00386410" w:rsidP="002D2E38">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w:t>
            </w:r>
            <w:r>
              <w:rPr>
                <w:rFonts w:ascii="Arial" w:hAnsi="Arial"/>
                <w:sz w:val="24"/>
                <w:szCs w:val="24"/>
                <w:lang w:val="es-ES"/>
              </w:rPr>
              <w:t xml:space="preserve"> (frecuencia relativa)</w:t>
            </w:r>
          </w:p>
        </w:tc>
      </w:tr>
      <w:tr w:rsidR="00386410" w:rsidRPr="00FF27FA" w14:paraId="5022B9A6" w14:textId="222504C5" w:rsidTr="00386410">
        <w:trPr>
          <w:trHeight w:val="431"/>
          <w:tblCellSpacing w:w="20" w:type="dxa"/>
        </w:trPr>
        <w:tc>
          <w:tcPr>
            <w:tcW w:w="1317" w:type="dxa"/>
            <w:tcBorders>
              <w:top w:val="outset" w:sz="6" w:space="0" w:color="auto"/>
              <w:left w:val="outset" w:sz="6" w:space="0" w:color="auto"/>
              <w:bottom w:val="outset" w:sz="6" w:space="0" w:color="auto"/>
              <w:right w:val="outset" w:sz="6" w:space="0" w:color="auto"/>
            </w:tcBorders>
            <w:shd w:val="clear" w:color="auto" w:fill="auto"/>
          </w:tcPr>
          <w:p w14:paraId="759F55C3" w14:textId="3CD49641"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b/>
                <w:bCs/>
                <w:sz w:val="24"/>
                <w:szCs w:val="24"/>
                <w:lang w:val="es-ES"/>
              </w:rPr>
              <w:t>2016</w:t>
            </w:r>
          </w:p>
        </w:tc>
        <w:tc>
          <w:tcPr>
            <w:tcW w:w="1143" w:type="dxa"/>
            <w:tcBorders>
              <w:top w:val="outset" w:sz="6" w:space="0" w:color="auto"/>
              <w:left w:val="outset" w:sz="6" w:space="0" w:color="auto"/>
              <w:bottom w:val="outset" w:sz="6" w:space="0" w:color="auto"/>
              <w:right w:val="outset" w:sz="6" w:space="0" w:color="auto"/>
            </w:tcBorders>
            <w:shd w:val="clear" w:color="auto" w:fill="auto"/>
          </w:tcPr>
          <w:p w14:paraId="7CA9FDF1" w14:textId="5D1F74F6"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172</w:t>
            </w:r>
          </w:p>
        </w:tc>
        <w:tc>
          <w:tcPr>
            <w:tcW w:w="990" w:type="dxa"/>
            <w:tcBorders>
              <w:top w:val="outset" w:sz="6" w:space="0" w:color="auto"/>
              <w:left w:val="outset" w:sz="6" w:space="0" w:color="auto"/>
              <w:bottom w:val="outset" w:sz="6" w:space="0" w:color="auto"/>
              <w:right w:val="outset" w:sz="6" w:space="0" w:color="auto"/>
            </w:tcBorders>
          </w:tcPr>
          <w:p w14:paraId="207FFA2B" w14:textId="1AD6FA14"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20</w:t>
            </w:r>
          </w:p>
        </w:tc>
        <w:tc>
          <w:tcPr>
            <w:tcW w:w="1117" w:type="dxa"/>
            <w:tcBorders>
              <w:top w:val="outset" w:sz="6" w:space="0" w:color="auto"/>
              <w:left w:val="outset" w:sz="6" w:space="0" w:color="auto"/>
              <w:bottom w:val="outset" w:sz="6" w:space="0" w:color="auto"/>
              <w:right w:val="outset" w:sz="6" w:space="0" w:color="auto"/>
            </w:tcBorders>
          </w:tcPr>
          <w:p w14:paraId="68AD0196" w14:textId="44449CA5"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rPr>
              <w:t>3</w:t>
            </w:r>
          </w:p>
        </w:tc>
        <w:tc>
          <w:tcPr>
            <w:tcW w:w="1179" w:type="dxa"/>
            <w:tcBorders>
              <w:top w:val="outset" w:sz="6" w:space="0" w:color="auto"/>
              <w:left w:val="outset" w:sz="6" w:space="0" w:color="auto"/>
              <w:bottom w:val="outset" w:sz="6" w:space="0" w:color="auto"/>
              <w:right w:val="outset" w:sz="6" w:space="0" w:color="auto"/>
            </w:tcBorders>
          </w:tcPr>
          <w:p w14:paraId="0134B271" w14:textId="173A3571"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15</w:t>
            </w:r>
            <w:r>
              <w:rPr>
                <w:rFonts w:ascii="Arial" w:hAnsi="Arial"/>
                <w:sz w:val="24"/>
                <w:szCs w:val="24"/>
                <w:lang w:val="es-ES"/>
              </w:rPr>
              <w:t xml:space="preserve"> </w:t>
            </w:r>
            <w:r w:rsidRPr="00BE2529">
              <w:rPr>
                <w:rFonts w:ascii="Arial" w:hAnsi="Arial"/>
                <w:sz w:val="24"/>
                <w:szCs w:val="24"/>
                <w:lang w:val="es-ES"/>
              </w:rPr>
              <w:t>%</w:t>
            </w:r>
          </w:p>
        </w:tc>
        <w:tc>
          <w:tcPr>
            <w:tcW w:w="1117" w:type="dxa"/>
            <w:tcBorders>
              <w:top w:val="outset" w:sz="6" w:space="0" w:color="auto"/>
              <w:left w:val="outset" w:sz="6" w:space="0" w:color="auto"/>
              <w:bottom w:val="outset" w:sz="6" w:space="0" w:color="auto"/>
              <w:right w:val="outset" w:sz="6" w:space="0" w:color="auto"/>
            </w:tcBorders>
          </w:tcPr>
          <w:p w14:paraId="5DAE475B" w14:textId="2F20FF2D"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rPr>
              <w:t>17</w:t>
            </w:r>
          </w:p>
        </w:tc>
        <w:tc>
          <w:tcPr>
            <w:tcW w:w="1179" w:type="dxa"/>
            <w:tcBorders>
              <w:top w:val="outset" w:sz="6" w:space="0" w:color="auto"/>
              <w:left w:val="outset" w:sz="6" w:space="0" w:color="auto"/>
              <w:bottom w:val="outset" w:sz="6" w:space="0" w:color="auto"/>
              <w:right w:val="outset" w:sz="6" w:space="0" w:color="auto"/>
            </w:tcBorders>
          </w:tcPr>
          <w:p w14:paraId="01F451A5" w14:textId="1FEA33FF"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b/>
                <w:bCs/>
                <w:sz w:val="24"/>
                <w:szCs w:val="24"/>
                <w:lang w:val="es-ES"/>
              </w:rPr>
              <w:t>85</w:t>
            </w:r>
            <w:r>
              <w:rPr>
                <w:rFonts w:ascii="Arial" w:hAnsi="Arial"/>
                <w:b/>
                <w:bCs/>
                <w:sz w:val="24"/>
                <w:szCs w:val="24"/>
                <w:lang w:val="es-ES"/>
              </w:rPr>
              <w:t xml:space="preserve"> </w:t>
            </w:r>
            <w:r w:rsidRPr="00BE2529">
              <w:rPr>
                <w:rFonts w:ascii="Arial" w:hAnsi="Arial"/>
                <w:b/>
                <w:bCs/>
                <w:sz w:val="24"/>
                <w:szCs w:val="24"/>
                <w:lang w:val="es-ES"/>
              </w:rPr>
              <w:t>%</w:t>
            </w:r>
          </w:p>
        </w:tc>
      </w:tr>
      <w:tr w:rsidR="00386410" w:rsidRPr="00FF27FA" w14:paraId="08D18F51" w14:textId="5BC96076" w:rsidTr="00386410">
        <w:trPr>
          <w:trHeight w:val="431"/>
          <w:tblCellSpacing w:w="20" w:type="dxa"/>
        </w:trPr>
        <w:tc>
          <w:tcPr>
            <w:tcW w:w="1317" w:type="dxa"/>
            <w:tcBorders>
              <w:top w:val="outset" w:sz="6" w:space="0" w:color="auto"/>
              <w:left w:val="outset" w:sz="6" w:space="0" w:color="auto"/>
              <w:bottom w:val="outset" w:sz="6" w:space="0" w:color="auto"/>
              <w:right w:val="outset" w:sz="6" w:space="0" w:color="auto"/>
            </w:tcBorders>
            <w:shd w:val="clear" w:color="auto" w:fill="auto"/>
          </w:tcPr>
          <w:p w14:paraId="5F38ED32" w14:textId="42951F0B"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lang w:val="es-ES"/>
              </w:rPr>
              <w:t>2017</w:t>
            </w:r>
          </w:p>
        </w:tc>
        <w:tc>
          <w:tcPr>
            <w:tcW w:w="1143" w:type="dxa"/>
            <w:tcBorders>
              <w:top w:val="outset" w:sz="6" w:space="0" w:color="auto"/>
              <w:left w:val="outset" w:sz="6" w:space="0" w:color="auto"/>
              <w:bottom w:val="outset" w:sz="6" w:space="0" w:color="auto"/>
              <w:right w:val="outset" w:sz="6" w:space="0" w:color="auto"/>
            </w:tcBorders>
            <w:shd w:val="clear" w:color="auto" w:fill="auto"/>
          </w:tcPr>
          <w:p w14:paraId="25F0737A" w14:textId="76D97E86"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lang w:val="es-ES"/>
              </w:rPr>
              <w:t>163</w:t>
            </w:r>
          </w:p>
        </w:tc>
        <w:tc>
          <w:tcPr>
            <w:tcW w:w="990" w:type="dxa"/>
            <w:tcBorders>
              <w:top w:val="outset" w:sz="6" w:space="0" w:color="auto"/>
              <w:left w:val="outset" w:sz="6" w:space="0" w:color="auto"/>
              <w:bottom w:val="outset" w:sz="6" w:space="0" w:color="auto"/>
              <w:right w:val="outset" w:sz="6" w:space="0" w:color="auto"/>
            </w:tcBorders>
          </w:tcPr>
          <w:p w14:paraId="148AE0C5" w14:textId="10D7C010"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lang w:val="es-ES"/>
              </w:rPr>
              <w:t>37</w:t>
            </w:r>
          </w:p>
        </w:tc>
        <w:tc>
          <w:tcPr>
            <w:tcW w:w="1117" w:type="dxa"/>
            <w:tcBorders>
              <w:top w:val="outset" w:sz="6" w:space="0" w:color="auto"/>
              <w:left w:val="outset" w:sz="6" w:space="0" w:color="auto"/>
              <w:right w:val="outset" w:sz="6" w:space="0" w:color="auto"/>
            </w:tcBorders>
          </w:tcPr>
          <w:p w14:paraId="2EDDAA0D" w14:textId="3FEFD026"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rPr>
              <w:t>15</w:t>
            </w:r>
          </w:p>
        </w:tc>
        <w:tc>
          <w:tcPr>
            <w:tcW w:w="1179" w:type="dxa"/>
            <w:tcBorders>
              <w:top w:val="outset" w:sz="6" w:space="0" w:color="auto"/>
              <w:left w:val="outset" w:sz="6" w:space="0" w:color="auto"/>
              <w:right w:val="outset" w:sz="6" w:space="0" w:color="auto"/>
            </w:tcBorders>
          </w:tcPr>
          <w:p w14:paraId="57866DBA" w14:textId="6E110D54"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lang w:val="es-ES"/>
              </w:rPr>
              <w:t>40</w:t>
            </w:r>
            <w:r>
              <w:rPr>
                <w:rFonts w:ascii="Arial" w:hAnsi="Arial"/>
                <w:sz w:val="24"/>
                <w:szCs w:val="24"/>
                <w:lang w:val="es-ES"/>
              </w:rPr>
              <w:t>,</w:t>
            </w:r>
            <w:r w:rsidRPr="00BE2529">
              <w:rPr>
                <w:rFonts w:ascii="Arial" w:hAnsi="Arial"/>
                <w:sz w:val="24"/>
                <w:szCs w:val="24"/>
                <w:lang w:val="es-ES"/>
              </w:rPr>
              <w:t>5</w:t>
            </w:r>
            <w:r>
              <w:rPr>
                <w:rFonts w:ascii="Arial" w:hAnsi="Arial"/>
                <w:sz w:val="24"/>
                <w:szCs w:val="24"/>
                <w:lang w:val="es-ES"/>
              </w:rPr>
              <w:t xml:space="preserve"> </w:t>
            </w:r>
            <w:r w:rsidRPr="00BE2529">
              <w:rPr>
                <w:rFonts w:ascii="Arial" w:hAnsi="Arial"/>
                <w:sz w:val="24"/>
                <w:szCs w:val="24"/>
                <w:lang w:val="es-ES"/>
              </w:rPr>
              <w:t>%</w:t>
            </w:r>
          </w:p>
        </w:tc>
        <w:tc>
          <w:tcPr>
            <w:tcW w:w="1117" w:type="dxa"/>
            <w:tcBorders>
              <w:top w:val="outset" w:sz="6" w:space="0" w:color="auto"/>
              <w:left w:val="outset" w:sz="6" w:space="0" w:color="auto"/>
              <w:right w:val="outset" w:sz="6" w:space="0" w:color="auto"/>
            </w:tcBorders>
          </w:tcPr>
          <w:p w14:paraId="5B2C50C2" w14:textId="1F395351"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rPr>
              <w:t>22</w:t>
            </w:r>
          </w:p>
        </w:tc>
        <w:tc>
          <w:tcPr>
            <w:tcW w:w="1179" w:type="dxa"/>
            <w:tcBorders>
              <w:top w:val="outset" w:sz="6" w:space="0" w:color="auto"/>
              <w:left w:val="outset" w:sz="6" w:space="0" w:color="auto"/>
              <w:right w:val="outset" w:sz="6" w:space="0" w:color="auto"/>
            </w:tcBorders>
          </w:tcPr>
          <w:p w14:paraId="4E231AA9" w14:textId="753E1161" w:rsidR="00386410" w:rsidRPr="00FF27FA" w:rsidRDefault="00386410" w:rsidP="00386410">
            <w:pPr>
              <w:autoSpaceDE w:val="0"/>
              <w:autoSpaceDN w:val="0"/>
              <w:adjustRightInd w:val="0"/>
              <w:spacing w:line="240" w:lineRule="auto"/>
              <w:jc w:val="both"/>
              <w:rPr>
                <w:rFonts w:ascii="Verdana" w:hAnsi="Verdana"/>
                <w:bCs/>
                <w:sz w:val="24"/>
                <w:szCs w:val="24"/>
                <w:lang w:val="es-ES"/>
              </w:rPr>
            </w:pPr>
            <w:r w:rsidRPr="00BE2529">
              <w:rPr>
                <w:rFonts w:ascii="Arial" w:hAnsi="Arial"/>
                <w:sz w:val="24"/>
                <w:szCs w:val="24"/>
                <w:lang w:val="es-ES"/>
              </w:rPr>
              <w:t>59</w:t>
            </w:r>
            <w:r>
              <w:rPr>
                <w:rFonts w:ascii="Arial" w:hAnsi="Arial"/>
                <w:sz w:val="24"/>
                <w:szCs w:val="24"/>
                <w:lang w:val="es-ES"/>
              </w:rPr>
              <w:t>,</w:t>
            </w:r>
            <w:r w:rsidRPr="00BE2529">
              <w:rPr>
                <w:rFonts w:ascii="Arial" w:hAnsi="Arial"/>
                <w:sz w:val="24"/>
                <w:szCs w:val="24"/>
                <w:lang w:val="es-ES"/>
              </w:rPr>
              <w:t>4</w:t>
            </w:r>
            <w:r>
              <w:rPr>
                <w:rFonts w:ascii="Arial" w:hAnsi="Arial"/>
                <w:sz w:val="24"/>
                <w:szCs w:val="24"/>
                <w:lang w:val="es-ES"/>
              </w:rPr>
              <w:t xml:space="preserve"> </w:t>
            </w:r>
            <w:r w:rsidRPr="00BE2529">
              <w:rPr>
                <w:rFonts w:ascii="Arial" w:hAnsi="Arial"/>
                <w:sz w:val="24"/>
                <w:szCs w:val="24"/>
                <w:lang w:val="es-ES"/>
              </w:rPr>
              <w:t>%</w:t>
            </w:r>
          </w:p>
        </w:tc>
      </w:tr>
      <w:tr w:rsidR="00386410" w:rsidRPr="00FF27FA" w14:paraId="35F30D20" w14:textId="4E68FB31" w:rsidTr="00386410">
        <w:trPr>
          <w:trHeight w:val="431"/>
          <w:tblCellSpacing w:w="20" w:type="dxa"/>
        </w:trPr>
        <w:tc>
          <w:tcPr>
            <w:tcW w:w="1317" w:type="dxa"/>
            <w:tcBorders>
              <w:top w:val="outset" w:sz="6" w:space="0" w:color="auto"/>
              <w:left w:val="outset" w:sz="6" w:space="0" w:color="auto"/>
              <w:bottom w:val="outset" w:sz="6" w:space="0" w:color="auto"/>
              <w:right w:val="outset" w:sz="6" w:space="0" w:color="auto"/>
            </w:tcBorders>
            <w:shd w:val="clear" w:color="auto" w:fill="auto"/>
          </w:tcPr>
          <w:p w14:paraId="6A73BAB0" w14:textId="6DD4C442"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b/>
                <w:bCs/>
                <w:sz w:val="24"/>
                <w:szCs w:val="24"/>
                <w:lang w:val="es-ES"/>
              </w:rPr>
              <w:t>2018</w:t>
            </w:r>
          </w:p>
        </w:tc>
        <w:tc>
          <w:tcPr>
            <w:tcW w:w="1143" w:type="dxa"/>
            <w:tcBorders>
              <w:top w:val="outset" w:sz="6" w:space="0" w:color="auto"/>
              <w:left w:val="outset" w:sz="6" w:space="0" w:color="auto"/>
              <w:bottom w:val="outset" w:sz="6" w:space="0" w:color="auto"/>
              <w:right w:val="outset" w:sz="6" w:space="0" w:color="auto"/>
            </w:tcBorders>
            <w:shd w:val="clear" w:color="auto" w:fill="auto"/>
          </w:tcPr>
          <w:p w14:paraId="74CDEED7" w14:textId="692DB6F7"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204</w:t>
            </w:r>
          </w:p>
        </w:tc>
        <w:tc>
          <w:tcPr>
            <w:tcW w:w="990" w:type="dxa"/>
            <w:tcBorders>
              <w:top w:val="outset" w:sz="6" w:space="0" w:color="auto"/>
              <w:left w:val="outset" w:sz="6" w:space="0" w:color="auto"/>
              <w:bottom w:val="outset" w:sz="6" w:space="0" w:color="auto"/>
              <w:right w:val="outset" w:sz="6" w:space="0" w:color="auto"/>
            </w:tcBorders>
          </w:tcPr>
          <w:p w14:paraId="1B50A671" w14:textId="19D0FDF8"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53</w:t>
            </w:r>
          </w:p>
        </w:tc>
        <w:tc>
          <w:tcPr>
            <w:tcW w:w="1117" w:type="dxa"/>
            <w:tcBorders>
              <w:top w:val="outset" w:sz="6" w:space="0" w:color="auto"/>
              <w:left w:val="outset" w:sz="6" w:space="0" w:color="auto"/>
              <w:bottom w:val="outset" w:sz="6" w:space="0" w:color="auto"/>
              <w:right w:val="outset" w:sz="6" w:space="0" w:color="auto"/>
            </w:tcBorders>
          </w:tcPr>
          <w:p w14:paraId="000E0C1B" w14:textId="01ABDD94"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12</w:t>
            </w:r>
          </w:p>
        </w:tc>
        <w:tc>
          <w:tcPr>
            <w:tcW w:w="1179" w:type="dxa"/>
            <w:tcBorders>
              <w:top w:val="outset" w:sz="6" w:space="0" w:color="auto"/>
              <w:left w:val="outset" w:sz="6" w:space="0" w:color="auto"/>
              <w:bottom w:val="outset" w:sz="6" w:space="0" w:color="auto"/>
              <w:right w:val="outset" w:sz="6" w:space="0" w:color="auto"/>
            </w:tcBorders>
          </w:tcPr>
          <w:p w14:paraId="2C79534E" w14:textId="39601902"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22</w:t>
            </w:r>
            <w:r>
              <w:rPr>
                <w:rFonts w:ascii="Arial" w:hAnsi="Arial"/>
                <w:sz w:val="24"/>
                <w:szCs w:val="24"/>
                <w:lang w:val="es-ES"/>
              </w:rPr>
              <w:t>,</w:t>
            </w:r>
            <w:r w:rsidRPr="00BE2529">
              <w:rPr>
                <w:rFonts w:ascii="Arial" w:hAnsi="Arial"/>
                <w:sz w:val="24"/>
                <w:szCs w:val="24"/>
                <w:lang w:val="es-ES"/>
              </w:rPr>
              <w:t>6</w:t>
            </w:r>
            <w:r>
              <w:rPr>
                <w:rFonts w:ascii="Arial" w:hAnsi="Arial"/>
                <w:sz w:val="24"/>
                <w:szCs w:val="24"/>
                <w:lang w:val="es-ES"/>
              </w:rPr>
              <w:t xml:space="preserve"> </w:t>
            </w:r>
            <w:r w:rsidRPr="00BE2529">
              <w:rPr>
                <w:rFonts w:ascii="Arial" w:hAnsi="Arial"/>
                <w:sz w:val="24"/>
                <w:szCs w:val="24"/>
                <w:lang w:val="es-ES"/>
              </w:rPr>
              <w:t>%</w:t>
            </w:r>
          </w:p>
        </w:tc>
        <w:tc>
          <w:tcPr>
            <w:tcW w:w="1117" w:type="dxa"/>
            <w:tcBorders>
              <w:top w:val="outset" w:sz="6" w:space="0" w:color="auto"/>
              <w:left w:val="outset" w:sz="6" w:space="0" w:color="auto"/>
              <w:bottom w:val="outset" w:sz="6" w:space="0" w:color="auto"/>
              <w:right w:val="outset" w:sz="6" w:space="0" w:color="auto"/>
            </w:tcBorders>
          </w:tcPr>
          <w:p w14:paraId="457D9C45" w14:textId="36AC3BF2"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41</w:t>
            </w:r>
          </w:p>
        </w:tc>
        <w:tc>
          <w:tcPr>
            <w:tcW w:w="1179" w:type="dxa"/>
            <w:tcBorders>
              <w:top w:val="outset" w:sz="6" w:space="0" w:color="auto"/>
              <w:left w:val="outset" w:sz="6" w:space="0" w:color="auto"/>
              <w:bottom w:val="outset" w:sz="6" w:space="0" w:color="auto"/>
              <w:right w:val="outset" w:sz="6" w:space="0" w:color="auto"/>
            </w:tcBorders>
          </w:tcPr>
          <w:p w14:paraId="7EE0E119" w14:textId="088471B5"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b/>
                <w:bCs/>
                <w:sz w:val="24"/>
                <w:szCs w:val="24"/>
                <w:lang w:val="es-ES"/>
              </w:rPr>
              <w:t>77</w:t>
            </w:r>
            <w:r>
              <w:rPr>
                <w:rFonts w:ascii="Arial" w:hAnsi="Arial"/>
                <w:b/>
                <w:bCs/>
                <w:sz w:val="24"/>
                <w:szCs w:val="24"/>
                <w:lang w:val="es-ES"/>
              </w:rPr>
              <w:t>,</w:t>
            </w:r>
            <w:r w:rsidRPr="00BE2529">
              <w:rPr>
                <w:rFonts w:ascii="Arial" w:hAnsi="Arial"/>
                <w:b/>
                <w:bCs/>
                <w:sz w:val="24"/>
                <w:szCs w:val="24"/>
                <w:lang w:val="es-ES"/>
              </w:rPr>
              <w:t>3</w:t>
            </w:r>
            <w:r>
              <w:rPr>
                <w:rFonts w:ascii="Arial" w:hAnsi="Arial"/>
                <w:b/>
                <w:bCs/>
                <w:sz w:val="24"/>
                <w:szCs w:val="24"/>
                <w:lang w:val="es-ES"/>
              </w:rPr>
              <w:t xml:space="preserve"> </w:t>
            </w:r>
            <w:r w:rsidRPr="00BE2529">
              <w:rPr>
                <w:rFonts w:ascii="Arial" w:hAnsi="Arial"/>
                <w:b/>
                <w:bCs/>
                <w:sz w:val="24"/>
                <w:szCs w:val="24"/>
                <w:lang w:val="es-ES"/>
              </w:rPr>
              <w:t>%</w:t>
            </w:r>
          </w:p>
        </w:tc>
      </w:tr>
      <w:tr w:rsidR="00386410" w:rsidRPr="00FF27FA" w14:paraId="6FBC545D" w14:textId="77777777" w:rsidTr="00386410">
        <w:trPr>
          <w:trHeight w:val="431"/>
          <w:tblCellSpacing w:w="20" w:type="dxa"/>
        </w:trPr>
        <w:tc>
          <w:tcPr>
            <w:tcW w:w="1317" w:type="dxa"/>
            <w:tcBorders>
              <w:top w:val="outset" w:sz="6" w:space="0" w:color="auto"/>
              <w:left w:val="outset" w:sz="6" w:space="0" w:color="auto"/>
              <w:bottom w:val="outset" w:sz="6" w:space="0" w:color="auto"/>
              <w:right w:val="outset" w:sz="6" w:space="0" w:color="auto"/>
            </w:tcBorders>
            <w:shd w:val="clear" w:color="auto" w:fill="auto"/>
          </w:tcPr>
          <w:p w14:paraId="195AD315" w14:textId="1679FAF6"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2019</w:t>
            </w:r>
          </w:p>
        </w:tc>
        <w:tc>
          <w:tcPr>
            <w:tcW w:w="1143" w:type="dxa"/>
            <w:tcBorders>
              <w:top w:val="outset" w:sz="6" w:space="0" w:color="auto"/>
              <w:left w:val="outset" w:sz="6" w:space="0" w:color="auto"/>
              <w:bottom w:val="outset" w:sz="6" w:space="0" w:color="auto"/>
              <w:right w:val="outset" w:sz="6" w:space="0" w:color="auto"/>
            </w:tcBorders>
            <w:shd w:val="clear" w:color="auto" w:fill="auto"/>
          </w:tcPr>
          <w:p w14:paraId="4C608C78" w14:textId="5C0AE878"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208</w:t>
            </w:r>
          </w:p>
        </w:tc>
        <w:tc>
          <w:tcPr>
            <w:tcW w:w="990" w:type="dxa"/>
            <w:tcBorders>
              <w:top w:val="outset" w:sz="6" w:space="0" w:color="auto"/>
              <w:left w:val="outset" w:sz="6" w:space="0" w:color="auto"/>
              <w:bottom w:val="outset" w:sz="6" w:space="0" w:color="auto"/>
              <w:right w:val="outset" w:sz="6" w:space="0" w:color="auto"/>
            </w:tcBorders>
          </w:tcPr>
          <w:p w14:paraId="2EF9A825" w14:textId="29853AE2"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47</w:t>
            </w:r>
          </w:p>
        </w:tc>
        <w:tc>
          <w:tcPr>
            <w:tcW w:w="1117" w:type="dxa"/>
            <w:tcBorders>
              <w:top w:val="outset" w:sz="6" w:space="0" w:color="auto"/>
              <w:left w:val="outset" w:sz="6" w:space="0" w:color="auto"/>
              <w:bottom w:val="outset" w:sz="6" w:space="0" w:color="auto"/>
              <w:right w:val="outset" w:sz="6" w:space="0" w:color="auto"/>
            </w:tcBorders>
          </w:tcPr>
          <w:p w14:paraId="3AB45108" w14:textId="7730AA2B"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22</w:t>
            </w:r>
          </w:p>
        </w:tc>
        <w:tc>
          <w:tcPr>
            <w:tcW w:w="1179" w:type="dxa"/>
            <w:tcBorders>
              <w:top w:val="outset" w:sz="6" w:space="0" w:color="auto"/>
              <w:left w:val="outset" w:sz="6" w:space="0" w:color="auto"/>
              <w:bottom w:val="outset" w:sz="6" w:space="0" w:color="auto"/>
              <w:right w:val="outset" w:sz="6" w:space="0" w:color="auto"/>
            </w:tcBorders>
          </w:tcPr>
          <w:p w14:paraId="32958596" w14:textId="20FD2B0F"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46</w:t>
            </w:r>
            <w:r>
              <w:rPr>
                <w:rFonts w:ascii="Arial" w:hAnsi="Arial"/>
                <w:sz w:val="24"/>
                <w:szCs w:val="24"/>
                <w:lang w:val="es-ES"/>
              </w:rPr>
              <w:t>,</w:t>
            </w:r>
            <w:r w:rsidRPr="00BE2529">
              <w:rPr>
                <w:rFonts w:ascii="Arial" w:hAnsi="Arial"/>
                <w:sz w:val="24"/>
                <w:szCs w:val="24"/>
                <w:lang w:val="es-ES"/>
              </w:rPr>
              <w:t>8</w:t>
            </w:r>
            <w:r>
              <w:rPr>
                <w:rFonts w:ascii="Arial" w:hAnsi="Arial"/>
                <w:sz w:val="24"/>
                <w:szCs w:val="24"/>
                <w:lang w:val="es-ES"/>
              </w:rPr>
              <w:t xml:space="preserve"> </w:t>
            </w:r>
            <w:r w:rsidRPr="00BE2529">
              <w:rPr>
                <w:rFonts w:ascii="Arial" w:hAnsi="Arial"/>
                <w:sz w:val="24"/>
                <w:szCs w:val="24"/>
                <w:lang w:val="es-ES"/>
              </w:rPr>
              <w:t>%</w:t>
            </w:r>
          </w:p>
        </w:tc>
        <w:tc>
          <w:tcPr>
            <w:tcW w:w="1117" w:type="dxa"/>
            <w:tcBorders>
              <w:top w:val="outset" w:sz="6" w:space="0" w:color="auto"/>
              <w:left w:val="outset" w:sz="6" w:space="0" w:color="auto"/>
              <w:bottom w:val="outset" w:sz="6" w:space="0" w:color="auto"/>
              <w:right w:val="outset" w:sz="6" w:space="0" w:color="auto"/>
            </w:tcBorders>
          </w:tcPr>
          <w:p w14:paraId="2D3291A0" w14:textId="2B69A69B"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25</w:t>
            </w:r>
          </w:p>
        </w:tc>
        <w:tc>
          <w:tcPr>
            <w:tcW w:w="1179" w:type="dxa"/>
            <w:tcBorders>
              <w:top w:val="outset" w:sz="6" w:space="0" w:color="auto"/>
              <w:left w:val="outset" w:sz="6" w:space="0" w:color="auto"/>
              <w:bottom w:val="outset" w:sz="6" w:space="0" w:color="auto"/>
              <w:right w:val="outset" w:sz="6" w:space="0" w:color="auto"/>
            </w:tcBorders>
          </w:tcPr>
          <w:p w14:paraId="08098191" w14:textId="0F295F14"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53</w:t>
            </w:r>
            <w:r>
              <w:rPr>
                <w:rFonts w:ascii="Arial" w:hAnsi="Arial"/>
                <w:sz w:val="24"/>
                <w:szCs w:val="24"/>
                <w:lang w:val="es-ES"/>
              </w:rPr>
              <w:t>,</w:t>
            </w:r>
            <w:r w:rsidRPr="00BE2529">
              <w:rPr>
                <w:rFonts w:ascii="Arial" w:hAnsi="Arial"/>
                <w:sz w:val="24"/>
                <w:szCs w:val="24"/>
                <w:lang w:val="es-ES"/>
              </w:rPr>
              <w:t>1</w:t>
            </w:r>
            <w:r>
              <w:rPr>
                <w:rFonts w:ascii="Arial" w:hAnsi="Arial"/>
                <w:sz w:val="24"/>
                <w:szCs w:val="24"/>
                <w:lang w:val="es-ES"/>
              </w:rPr>
              <w:t xml:space="preserve"> </w:t>
            </w:r>
            <w:r w:rsidRPr="00BE2529">
              <w:rPr>
                <w:rFonts w:ascii="Arial" w:hAnsi="Arial"/>
                <w:sz w:val="24"/>
                <w:szCs w:val="24"/>
                <w:lang w:val="es-ES"/>
              </w:rPr>
              <w:t>%</w:t>
            </w:r>
          </w:p>
        </w:tc>
      </w:tr>
      <w:tr w:rsidR="00386410" w:rsidRPr="00FF27FA" w14:paraId="1F716972" w14:textId="77777777" w:rsidTr="00386410">
        <w:trPr>
          <w:trHeight w:val="431"/>
          <w:tblCellSpacing w:w="20" w:type="dxa"/>
        </w:trPr>
        <w:tc>
          <w:tcPr>
            <w:tcW w:w="1317" w:type="dxa"/>
            <w:tcBorders>
              <w:top w:val="outset" w:sz="6" w:space="0" w:color="auto"/>
              <w:left w:val="outset" w:sz="6" w:space="0" w:color="auto"/>
              <w:bottom w:val="outset" w:sz="6" w:space="0" w:color="auto"/>
              <w:right w:val="outset" w:sz="6" w:space="0" w:color="auto"/>
            </w:tcBorders>
            <w:shd w:val="clear" w:color="auto" w:fill="auto"/>
          </w:tcPr>
          <w:p w14:paraId="26FD78EF" w14:textId="609D60E5"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b/>
                <w:bCs/>
                <w:sz w:val="24"/>
                <w:szCs w:val="24"/>
                <w:lang w:val="es-ES"/>
              </w:rPr>
              <w:t>2020</w:t>
            </w:r>
          </w:p>
        </w:tc>
        <w:tc>
          <w:tcPr>
            <w:tcW w:w="1143" w:type="dxa"/>
            <w:tcBorders>
              <w:top w:val="outset" w:sz="6" w:space="0" w:color="auto"/>
              <w:left w:val="outset" w:sz="6" w:space="0" w:color="auto"/>
              <w:bottom w:val="outset" w:sz="6" w:space="0" w:color="auto"/>
              <w:right w:val="outset" w:sz="6" w:space="0" w:color="auto"/>
            </w:tcBorders>
            <w:shd w:val="clear" w:color="auto" w:fill="auto"/>
          </w:tcPr>
          <w:p w14:paraId="65153A1F" w14:textId="413142C7"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222</w:t>
            </w:r>
          </w:p>
        </w:tc>
        <w:tc>
          <w:tcPr>
            <w:tcW w:w="990" w:type="dxa"/>
            <w:tcBorders>
              <w:top w:val="outset" w:sz="6" w:space="0" w:color="auto"/>
              <w:left w:val="outset" w:sz="6" w:space="0" w:color="auto"/>
              <w:bottom w:val="outset" w:sz="6" w:space="0" w:color="auto"/>
              <w:right w:val="outset" w:sz="6" w:space="0" w:color="auto"/>
            </w:tcBorders>
          </w:tcPr>
          <w:p w14:paraId="7A63942B" w14:textId="19DBB532"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38</w:t>
            </w:r>
          </w:p>
        </w:tc>
        <w:tc>
          <w:tcPr>
            <w:tcW w:w="1117" w:type="dxa"/>
            <w:tcBorders>
              <w:top w:val="outset" w:sz="6" w:space="0" w:color="auto"/>
              <w:left w:val="outset" w:sz="6" w:space="0" w:color="auto"/>
              <w:bottom w:val="outset" w:sz="6" w:space="0" w:color="auto"/>
              <w:right w:val="outset" w:sz="6" w:space="0" w:color="auto"/>
            </w:tcBorders>
          </w:tcPr>
          <w:p w14:paraId="59383ED0" w14:textId="1CC2FE08"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6</w:t>
            </w:r>
          </w:p>
        </w:tc>
        <w:tc>
          <w:tcPr>
            <w:tcW w:w="1179" w:type="dxa"/>
            <w:tcBorders>
              <w:top w:val="outset" w:sz="6" w:space="0" w:color="auto"/>
              <w:left w:val="outset" w:sz="6" w:space="0" w:color="auto"/>
              <w:bottom w:val="outset" w:sz="6" w:space="0" w:color="auto"/>
              <w:right w:val="outset" w:sz="6" w:space="0" w:color="auto"/>
            </w:tcBorders>
          </w:tcPr>
          <w:p w14:paraId="5DCEA1E1" w14:textId="7F983B97"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15</w:t>
            </w:r>
            <w:r>
              <w:rPr>
                <w:rFonts w:ascii="Arial" w:hAnsi="Arial"/>
                <w:sz w:val="24"/>
                <w:szCs w:val="24"/>
                <w:lang w:val="es-ES"/>
              </w:rPr>
              <w:t>,</w:t>
            </w:r>
            <w:r w:rsidRPr="00BE2529">
              <w:rPr>
                <w:rFonts w:ascii="Arial" w:hAnsi="Arial"/>
                <w:sz w:val="24"/>
                <w:szCs w:val="24"/>
                <w:lang w:val="es-ES"/>
              </w:rPr>
              <w:t>7</w:t>
            </w:r>
            <w:r>
              <w:rPr>
                <w:rFonts w:ascii="Arial" w:hAnsi="Arial"/>
                <w:sz w:val="24"/>
                <w:szCs w:val="24"/>
                <w:lang w:val="es-ES"/>
              </w:rPr>
              <w:t xml:space="preserve"> </w:t>
            </w:r>
            <w:r w:rsidRPr="00BE2529">
              <w:rPr>
                <w:rFonts w:ascii="Arial" w:hAnsi="Arial"/>
                <w:sz w:val="24"/>
                <w:szCs w:val="24"/>
                <w:lang w:val="es-ES"/>
              </w:rPr>
              <w:t>%</w:t>
            </w:r>
          </w:p>
        </w:tc>
        <w:tc>
          <w:tcPr>
            <w:tcW w:w="1117" w:type="dxa"/>
            <w:tcBorders>
              <w:top w:val="outset" w:sz="6" w:space="0" w:color="auto"/>
              <w:left w:val="outset" w:sz="6" w:space="0" w:color="auto"/>
              <w:bottom w:val="outset" w:sz="6" w:space="0" w:color="auto"/>
              <w:right w:val="outset" w:sz="6" w:space="0" w:color="auto"/>
            </w:tcBorders>
          </w:tcPr>
          <w:p w14:paraId="5B25194A" w14:textId="0E330306"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32</w:t>
            </w:r>
          </w:p>
        </w:tc>
        <w:tc>
          <w:tcPr>
            <w:tcW w:w="1179" w:type="dxa"/>
            <w:tcBorders>
              <w:top w:val="outset" w:sz="6" w:space="0" w:color="auto"/>
              <w:left w:val="outset" w:sz="6" w:space="0" w:color="auto"/>
              <w:bottom w:val="outset" w:sz="6" w:space="0" w:color="auto"/>
              <w:right w:val="outset" w:sz="6" w:space="0" w:color="auto"/>
            </w:tcBorders>
          </w:tcPr>
          <w:p w14:paraId="394822F2" w14:textId="5607B7B3"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b/>
                <w:bCs/>
                <w:sz w:val="24"/>
                <w:szCs w:val="24"/>
                <w:lang w:val="es-ES"/>
              </w:rPr>
              <w:t>84</w:t>
            </w:r>
            <w:r>
              <w:rPr>
                <w:rFonts w:ascii="Arial" w:hAnsi="Arial"/>
                <w:b/>
                <w:bCs/>
                <w:sz w:val="24"/>
                <w:szCs w:val="24"/>
                <w:lang w:val="es-ES"/>
              </w:rPr>
              <w:t>,</w:t>
            </w:r>
            <w:r w:rsidRPr="00BE2529">
              <w:rPr>
                <w:rFonts w:ascii="Arial" w:hAnsi="Arial"/>
                <w:b/>
                <w:bCs/>
                <w:sz w:val="24"/>
                <w:szCs w:val="24"/>
                <w:lang w:val="es-ES"/>
              </w:rPr>
              <w:t>2</w:t>
            </w:r>
            <w:r>
              <w:rPr>
                <w:rFonts w:ascii="Arial" w:hAnsi="Arial"/>
                <w:b/>
                <w:bCs/>
                <w:sz w:val="24"/>
                <w:szCs w:val="24"/>
                <w:lang w:val="es-ES"/>
              </w:rPr>
              <w:t xml:space="preserve"> </w:t>
            </w:r>
            <w:r w:rsidRPr="00BE2529">
              <w:rPr>
                <w:rFonts w:ascii="Arial" w:hAnsi="Arial"/>
                <w:b/>
                <w:bCs/>
                <w:sz w:val="24"/>
                <w:szCs w:val="24"/>
                <w:lang w:val="es-ES"/>
              </w:rPr>
              <w:t>%</w:t>
            </w:r>
          </w:p>
        </w:tc>
      </w:tr>
      <w:tr w:rsidR="00386410" w:rsidRPr="00FF27FA" w14:paraId="3381E34F" w14:textId="77777777" w:rsidTr="00386410">
        <w:trPr>
          <w:trHeight w:val="431"/>
          <w:tblCellSpacing w:w="20" w:type="dxa"/>
        </w:trPr>
        <w:tc>
          <w:tcPr>
            <w:tcW w:w="1317" w:type="dxa"/>
            <w:tcBorders>
              <w:top w:val="outset" w:sz="6" w:space="0" w:color="auto"/>
              <w:left w:val="outset" w:sz="6" w:space="0" w:color="auto"/>
              <w:bottom w:val="outset" w:sz="6" w:space="0" w:color="auto"/>
              <w:right w:val="outset" w:sz="6" w:space="0" w:color="auto"/>
            </w:tcBorders>
            <w:shd w:val="clear" w:color="auto" w:fill="auto"/>
          </w:tcPr>
          <w:p w14:paraId="5CE6F17C" w14:textId="109B0D82"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Total</w:t>
            </w:r>
          </w:p>
        </w:tc>
        <w:tc>
          <w:tcPr>
            <w:tcW w:w="1143" w:type="dxa"/>
            <w:tcBorders>
              <w:top w:val="outset" w:sz="6" w:space="0" w:color="auto"/>
              <w:left w:val="outset" w:sz="6" w:space="0" w:color="auto"/>
              <w:bottom w:val="outset" w:sz="6" w:space="0" w:color="auto"/>
              <w:right w:val="outset" w:sz="6" w:space="0" w:color="auto"/>
            </w:tcBorders>
            <w:shd w:val="clear" w:color="auto" w:fill="auto"/>
          </w:tcPr>
          <w:p w14:paraId="22CB0F4B" w14:textId="011F228D" w:rsidR="00386410" w:rsidRPr="00FF27FA" w:rsidRDefault="00386410" w:rsidP="00386410">
            <w:pPr>
              <w:autoSpaceDE w:val="0"/>
              <w:autoSpaceDN w:val="0"/>
              <w:adjustRightInd w:val="0"/>
              <w:spacing w:line="240" w:lineRule="auto"/>
              <w:jc w:val="both"/>
              <w:rPr>
                <w:rFonts w:ascii="Verdana" w:hAnsi="Verdana"/>
                <w:sz w:val="24"/>
                <w:szCs w:val="24"/>
                <w:lang w:val="es-ES"/>
              </w:rPr>
            </w:pPr>
            <w:r w:rsidRPr="00BE2529">
              <w:rPr>
                <w:rFonts w:ascii="Arial" w:hAnsi="Arial"/>
                <w:sz w:val="24"/>
                <w:szCs w:val="24"/>
                <w:lang w:val="es-ES"/>
              </w:rPr>
              <w:t>969</w:t>
            </w:r>
          </w:p>
        </w:tc>
        <w:tc>
          <w:tcPr>
            <w:tcW w:w="990" w:type="dxa"/>
            <w:tcBorders>
              <w:top w:val="outset" w:sz="6" w:space="0" w:color="auto"/>
              <w:left w:val="outset" w:sz="6" w:space="0" w:color="auto"/>
              <w:bottom w:val="outset" w:sz="6" w:space="0" w:color="auto"/>
              <w:right w:val="outset" w:sz="6" w:space="0" w:color="auto"/>
            </w:tcBorders>
          </w:tcPr>
          <w:p w14:paraId="631683A4" w14:textId="227D2A81"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195</w:t>
            </w:r>
          </w:p>
        </w:tc>
        <w:tc>
          <w:tcPr>
            <w:tcW w:w="1117" w:type="dxa"/>
            <w:tcBorders>
              <w:top w:val="outset" w:sz="6" w:space="0" w:color="auto"/>
              <w:left w:val="outset" w:sz="6" w:space="0" w:color="auto"/>
              <w:bottom w:val="outset" w:sz="6" w:space="0" w:color="auto"/>
              <w:right w:val="outset" w:sz="6" w:space="0" w:color="auto"/>
            </w:tcBorders>
          </w:tcPr>
          <w:p w14:paraId="71C50AC9" w14:textId="36D461F2"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58</w:t>
            </w:r>
          </w:p>
        </w:tc>
        <w:tc>
          <w:tcPr>
            <w:tcW w:w="1179" w:type="dxa"/>
            <w:tcBorders>
              <w:top w:val="outset" w:sz="6" w:space="0" w:color="auto"/>
              <w:left w:val="outset" w:sz="6" w:space="0" w:color="auto"/>
              <w:bottom w:val="outset" w:sz="6" w:space="0" w:color="auto"/>
              <w:right w:val="outset" w:sz="6" w:space="0" w:color="auto"/>
            </w:tcBorders>
          </w:tcPr>
          <w:p w14:paraId="2F3BA38D" w14:textId="0CBE400B"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lang w:val="es-ES"/>
              </w:rPr>
              <w:t>29</w:t>
            </w:r>
            <w:r>
              <w:rPr>
                <w:rFonts w:ascii="Arial" w:hAnsi="Arial"/>
                <w:sz w:val="24"/>
                <w:szCs w:val="24"/>
                <w:lang w:val="es-ES"/>
              </w:rPr>
              <w:t>,</w:t>
            </w:r>
            <w:r w:rsidRPr="00BE2529">
              <w:rPr>
                <w:rFonts w:ascii="Arial" w:hAnsi="Arial"/>
                <w:sz w:val="24"/>
                <w:szCs w:val="24"/>
                <w:lang w:val="es-ES"/>
              </w:rPr>
              <w:t>7</w:t>
            </w:r>
            <w:r>
              <w:rPr>
                <w:rFonts w:ascii="Arial" w:hAnsi="Arial"/>
                <w:sz w:val="24"/>
                <w:szCs w:val="24"/>
                <w:lang w:val="es-ES"/>
              </w:rPr>
              <w:t xml:space="preserve"> </w:t>
            </w:r>
            <w:r w:rsidRPr="00BE2529">
              <w:rPr>
                <w:rFonts w:ascii="Arial" w:hAnsi="Arial"/>
                <w:sz w:val="24"/>
                <w:szCs w:val="24"/>
                <w:lang w:val="es-ES"/>
              </w:rPr>
              <w:t>%</w:t>
            </w:r>
          </w:p>
        </w:tc>
        <w:tc>
          <w:tcPr>
            <w:tcW w:w="1117" w:type="dxa"/>
            <w:tcBorders>
              <w:top w:val="outset" w:sz="6" w:space="0" w:color="auto"/>
              <w:left w:val="outset" w:sz="6" w:space="0" w:color="auto"/>
              <w:bottom w:val="outset" w:sz="6" w:space="0" w:color="auto"/>
              <w:right w:val="outset" w:sz="6" w:space="0" w:color="auto"/>
            </w:tcBorders>
          </w:tcPr>
          <w:p w14:paraId="1DFE2CAB" w14:textId="79ABADED"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sz w:val="24"/>
                <w:szCs w:val="24"/>
              </w:rPr>
              <w:t>137</w:t>
            </w:r>
          </w:p>
        </w:tc>
        <w:tc>
          <w:tcPr>
            <w:tcW w:w="1179" w:type="dxa"/>
            <w:tcBorders>
              <w:top w:val="outset" w:sz="6" w:space="0" w:color="auto"/>
              <w:left w:val="outset" w:sz="6" w:space="0" w:color="auto"/>
              <w:bottom w:val="outset" w:sz="6" w:space="0" w:color="auto"/>
              <w:right w:val="outset" w:sz="6" w:space="0" w:color="auto"/>
            </w:tcBorders>
          </w:tcPr>
          <w:p w14:paraId="3B046ACC" w14:textId="4A3C4553" w:rsidR="00386410" w:rsidRPr="00FF27FA" w:rsidRDefault="00386410" w:rsidP="00386410">
            <w:pPr>
              <w:autoSpaceDE w:val="0"/>
              <w:autoSpaceDN w:val="0"/>
              <w:adjustRightInd w:val="0"/>
              <w:spacing w:line="240" w:lineRule="auto"/>
              <w:jc w:val="both"/>
              <w:rPr>
                <w:rFonts w:ascii="Verdana" w:hAnsi="Verdana"/>
                <w:color w:val="000000"/>
                <w:sz w:val="24"/>
                <w:szCs w:val="24"/>
                <w:lang w:val="es-ES"/>
              </w:rPr>
            </w:pPr>
            <w:r w:rsidRPr="00BE2529">
              <w:rPr>
                <w:rFonts w:ascii="Arial" w:hAnsi="Arial"/>
                <w:b/>
                <w:bCs/>
                <w:sz w:val="24"/>
                <w:szCs w:val="24"/>
                <w:lang w:val="es-ES"/>
              </w:rPr>
              <w:t>70</w:t>
            </w:r>
            <w:r>
              <w:rPr>
                <w:rFonts w:ascii="Arial" w:hAnsi="Arial"/>
                <w:b/>
                <w:bCs/>
                <w:sz w:val="24"/>
                <w:szCs w:val="24"/>
                <w:lang w:val="es-ES"/>
              </w:rPr>
              <w:t>,</w:t>
            </w:r>
            <w:r w:rsidRPr="00BE2529">
              <w:rPr>
                <w:rFonts w:ascii="Arial" w:hAnsi="Arial"/>
                <w:b/>
                <w:bCs/>
                <w:sz w:val="24"/>
                <w:szCs w:val="24"/>
                <w:lang w:val="es-ES"/>
              </w:rPr>
              <w:t>2</w:t>
            </w:r>
            <w:r>
              <w:rPr>
                <w:rFonts w:ascii="Arial" w:hAnsi="Arial"/>
                <w:b/>
                <w:bCs/>
                <w:sz w:val="24"/>
                <w:szCs w:val="24"/>
                <w:lang w:val="es-ES"/>
              </w:rPr>
              <w:t xml:space="preserve"> </w:t>
            </w:r>
            <w:r w:rsidRPr="00BE2529">
              <w:rPr>
                <w:rFonts w:ascii="Arial" w:hAnsi="Arial"/>
                <w:b/>
                <w:bCs/>
                <w:sz w:val="24"/>
                <w:szCs w:val="24"/>
                <w:lang w:val="es-ES"/>
              </w:rPr>
              <w:t>%</w:t>
            </w:r>
          </w:p>
        </w:tc>
      </w:tr>
    </w:tbl>
    <w:p w14:paraId="6D117FD4" w14:textId="203FFA9B" w:rsidR="008932D9" w:rsidRDefault="008932D9" w:rsidP="004B4C19">
      <w:pPr>
        <w:tabs>
          <w:tab w:val="left" w:pos="6351"/>
        </w:tabs>
        <w:spacing w:line="360" w:lineRule="auto"/>
        <w:jc w:val="both"/>
        <w:rPr>
          <w:rFonts w:ascii="Arial" w:hAnsi="Arial"/>
          <w:sz w:val="24"/>
          <w:szCs w:val="24"/>
          <w:lang w:val="es-US"/>
        </w:rPr>
      </w:pPr>
      <w:r w:rsidRPr="007A1764">
        <w:rPr>
          <w:rFonts w:ascii="Arial" w:hAnsi="Arial"/>
          <w:b/>
          <w:bCs/>
          <w:sz w:val="24"/>
          <w:szCs w:val="24"/>
          <w:lang w:val="es-US"/>
        </w:rPr>
        <w:t>Fuente:</w:t>
      </w:r>
      <w:r>
        <w:rPr>
          <w:rFonts w:ascii="Arial" w:hAnsi="Arial"/>
          <w:sz w:val="24"/>
          <w:szCs w:val="24"/>
          <w:lang w:val="es-US"/>
        </w:rPr>
        <w:t xml:space="preserve"> Historias Clínicas</w:t>
      </w:r>
    </w:p>
    <w:p w14:paraId="62B456DA" w14:textId="152D7CD6" w:rsidR="007A1764" w:rsidRPr="00BE2529" w:rsidRDefault="007A1764" w:rsidP="007A1764">
      <w:pPr>
        <w:spacing w:line="360" w:lineRule="auto"/>
        <w:jc w:val="both"/>
        <w:rPr>
          <w:rFonts w:ascii="Arial" w:hAnsi="Arial"/>
          <w:sz w:val="24"/>
          <w:szCs w:val="24"/>
          <w:lang w:val="es-US"/>
        </w:rPr>
      </w:pPr>
      <w:r w:rsidRPr="00BE2529">
        <w:rPr>
          <w:rFonts w:ascii="Arial" w:hAnsi="Arial"/>
          <w:sz w:val="24"/>
          <w:szCs w:val="24"/>
          <w:lang w:val="es-US"/>
        </w:rPr>
        <w:t>De</w:t>
      </w:r>
      <w:r>
        <w:rPr>
          <w:rFonts w:ascii="Arial" w:hAnsi="Arial"/>
          <w:sz w:val="24"/>
          <w:szCs w:val="24"/>
          <w:lang w:val="es-US"/>
        </w:rPr>
        <w:t xml:space="preserve"> acuerdo a la información de la Figura 2, de </w:t>
      </w:r>
      <w:r w:rsidRPr="00BE2529">
        <w:rPr>
          <w:rFonts w:ascii="Arial" w:hAnsi="Arial"/>
          <w:sz w:val="24"/>
          <w:szCs w:val="24"/>
          <w:lang w:val="es-US"/>
        </w:rPr>
        <w:t>un total de 137 pacientes con inmunofenotipo tumoral Luminal A que no recibi</w:t>
      </w:r>
      <w:r>
        <w:rPr>
          <w:rFonts w:ascii="Arial" w:hAnsi="Arial"/>
          <w:sz w:val="24"/>
          <w:szCs w:val="24"/>
          <w:lang w:val="es-US"/>
        </w:rPr>
        <w:t>ó</w:t>
      </w:r>
      <w:r w:rsidRPr="00BE2529">
        <w:rPr>
          <w:rFonts w:ascii="Arial" w:hAnsi="Arial"/>
          <w:sz w:val="24"/>
          <w:szCs w:val="24"/>
          <w:lang w:val="es-US"/>
        </w:rPr>
        <w:t xml:space="preserve"> tratamiento </w:t>
      </w:r>
      <w:r>
        <w:rPr>
          <w:rFonts w:ascii="Arial" w:hAnsi="Arial"/>
          <w:sz w:val="24"/>
          <w:szCs w:val="24"/>
          <w:lang w:val="es-US"/>
        </w:rPr>
        <w:t>de precisión</w:t>
      </w:r>
      <w:r>
        <w:rPr>
          <w:rFonts w:ascii="Arial" w:hAnsi="Arial"/>
          <w:sz w:val="24"/>
          <w:szCs w:val="24"/>
          <w:lang w:val="es-US"/>
        </w:rPr>
        <w:t xml:space="preserve">, </w:t>
      </w:r>
      <w:r w:rsidRPr="00BE2529">
        <w:rPr>
          <w:rFonts w:ascii="Arial" w:hAnsi="Arial"/>
          <w:sz w:val="24"/>
          <w:szCs w:val="24"/>
          <w:lang w:val="es-US"/>
        </w:rPr>
        <w:t xml:space="preserve">el grupo de edad más frecuente fue </w:t>
      </w:r>
      <w:r>
        <w:rPr>
          <w:rFonts w:ascii="Arial" w:hAnsi="Arial"/>
          <w:sz w:val="24"/>
          <w:szCs w:val="24"/>
          <w:lang w:val="es-US"/>
        </w:rPr>
        <w:t>la sexta y séptima década</w:t>
      </w:r>
      <w:r>
        <w:rPr>
          <w:rFonts w:ascii="Arial" w:hAnsi="Arial"/>
          <w:sz w:val="24"/>
          <w:szCs w:val="24"/>
          <w:lang w:val="es-US"/>
        </w:rPr>
        <w:t>s</w:t>
      </w:r>
      <w:r>
        <w:rPr>
          <w:rFonts w:ascii="Arial" w:hAnsi="Arial"/>
          <w:sz w:val="24"/>
          <w:szCs w:val="24"/>
          <w:lang w:val="es-US"/>
        </w:rPr>
        <w:t xml:space="preserve"> de vida</w:t>
      </w:r>
      <w:r w:rsidRPr="00BE2529">
        <w:rPr>
          <w:rFonts w:ascii="Arial" w:hAnsi="Arial"/>
          <w:sz w:val="24"/>
          <w:szCs w:val="24"/>
          <w:lang w:val="es-US"/>
        </w:rPr>
        <w:t xml:space="preserve"> seguido por el grupo </w:t>
      </w:r>
      <w:r>
        <w:rPr>
          <w:rFonts w:ascii="Arial" w:hAnsi="Arial"/>
          <w:sz w:val="24"/>
          <w:szCs w:val="24"/>
          <w:lang w:val="es-US"/>
        </w:rPr>
        <w:t>entre la cuarta y quinta década</w:t>
      </w:r>
      <w:r>
        <w:rPr>
          <w:rFonts w:ascii="Arial" w:hAnsi="Arial"/>
          <w:sz w:val="24"/>
          <w:szCs w:val="24"/>
          <w:lang w:val="es-US"/>
        </w:rPr>
        <w:t>s</w:t>
      </w:r>
      <w:r>
        <w:rPr>
          <w:rFonts w:ascii="Arial" w:hAnsi="Arial"/>
          <w:sz w:val="24"/>
          <w:szCs w:val="24"/>
          <w:lang w:val="es-US"/>
        </w:rPr>
        <w:t xml:space="preserve"> de vida, con cifras similares.</w:t>
      </w:r>
    </w:p>
    <w:p w14:paraId="517DD07E" w14:textId="77777777" w:rsidR="007A1764" w:rsidRDefault="007A1764" w:rsidP="004B4C19">
      <w:pPr>
        <w:tabs>
          <w:tab w:val="left" w:pos="6351"/>
        </w:tabs>
        <w:spacing w:line="360" w:lineRule="auto"/>
        <w:jc w:val="both"/>
        <w:rPr>
          <w:rFonts w:ascii="Arial" w:hAnsi="Arial"/>
          <w:sz w:val="24"/>
          <w:szCs w:val="24"/>
          <w:lang w:val="es-US"/>
        </w:rPr>
      </w:pPr>
    </w:p>
    <w:p w14:paraId="05564A0C" w14:textId="77777777" w:rsidR="005E6150" w:rsidRDefault="00A02B21" w:rsidP="004B4C19">
      <w:pPr>
        <w:spacing w:line="360" w:lineRule="auto"/>
        <w:jc w:val="both"/>
        <w:rPr>
          <w:rFonts w:ascii="Arial" w:hAnsi="Arial"/>
          <w:sz w:val="24"/>
          <w:szCs w:val="24"/>
          <w:lang w:val="es-US"/>
        </w:rPr>
      </w:pPr>
      <w:r w:rsidRPr="00BE2529">
        <w:rPr>
          <w:rFonts w:ascii="Arial" w:hAnsi="Arial"/>
          <w:noProof/>
          <w:sz w:val="24"/>
          <w:szCs w:val="24"/>
          <w:lang w:val="es-ES" w:eastAsia="es-ES"/>
        </w:rPr>
        <w:lastRenderedPageBreak/>
        <w:drawing>
          <wp:inline distT="0" distB="0" distL="0" distR="0" wp14:anchorId="4FC80588" wp14:editId="0D4A85A8">
            <wp:extent cx="3079750" cy="21463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F5F011" w14:textId="77777777" w:rsidR="007A1764" w:rsidRPr="00BE2529" w:rsidRDefault="007A1764" w:rsidP="007A1764">
      <w:pPr>
        <w:spacing w:line="360" w:lineRule="auto"/>
        <w:jc w:val="both"/>
        <w:rPr>
          <w:rFonts w:ascii="Arial" w:hAnsi="Arial"/>
          <w:sz w:val="24"/>
          <w:szCs w:val="24"/>
          <w:lang w:val="es-US"/>
        </w:rPr>
      </w:pPr>
      <w:r>
        <w:rPr>
          <w:rFonts w:ascii="Arial" w:hAnsi="Arial"/>
          <w:b/>
          <w:bCs/>
          <w:sz w:val="24"/>
          <w:szCs w:val="24"/>
          <w:lang w:val="es-US"/>
        </w:rPr>
        <w:t>Figura</w:t>
      </w:r>
      <w:r w:rsidRPr="00BE2529">
        <w:rPr>
          <w:rFonts w:ascii="Arial" w:hAnsi="Arial"/>
          <w:b/>
          <w:bCs/>
          <w:sz w:val="24"/>
          <w:szCs w:val="24"/>
          <w:lang w:val="es-US"/>
        </w:rPr>
        <w:t xml:space="preserve"> 2:</w:t>
      </w:r>
      <w:r w:rsidRPr="00BE2529">
        <w:rPr>
          <w:rFonts w:ascii="Arial" w:hAnsi="Arial"/>
          <w:sz w:val="24"/>
          <w:szCs w:val="24"/>
          <w:lang w:val="es-US"/>
        </w:rPr>
        <w:t xml:space="preserve"> Grupos de edades de las pacientes tipo Luminal A que no recibi</w:t>
      </w:r>
      <w:r>
        <w:rPr>
          <w:rFonts w:ascii="Arial" w:hAnsi="Arial"/>
          <w:sz w:val="24"/>
          <w:szCs w:val="24"/>
          <w:lang w:val="es-US"/>
        </w:rPr>
        <w:t>eron</w:t>
      </w:r>
      <w:r w:rsidRPr="00BE2529">
        <w:rPr>
          <w:rFonts w:ascii="Arial" w:hAnsi="Arial"/>
          <w:sz w:val="24"/>
          <w:szCs w:val="24"/>
          <w:lang w:val="es-US"/>
        </w:rPr>
        <w:t xml:space="preserve"> tratamiento </w:t>
      </w:r>
      <w:r>
        <w:rPr>
          <w:rFonts w:ascii="Arial" w:hAnsi="Arial"/>
          <w:sz w:val="24"/>
          <w:szCs w:val="24"/>
          <w:lang w:val="es-US"/>
        </w:rPr>
        <w:t>de precisión</w:t>
      </w:r>
      <w:r w:rsidRPr="00BE2529">
        <w:rPr>
          <w:rFonts w:ascii="Arial" w:hAnsi="Arial"/>
          <w:sz w:val="24"/>
          <w:szCs w:val="24"/>
          <w:lang w:val="es-US"/>
        </w:rPr>
        <w:t>. (n=137)</w:t>
      </w:r>
    </w:p>
    <w:p w14:paraId="585AA8B4" w14:textId="77777777" w:rsidR="007A1764" w:rsidRPr="00BE2529" w:rsidRDefault="007A1764" w:rsidP="007A1764">
      <w:pPr>
        <w:spacing w:line="360" w:lineRule="auto"/>
        <w:jc w:val="both"/>
        <w:rPr>
          <w:rFonts w:ascii="Arial" w:hAnsi="Arial"/>
          <w:sz w:val="24"/>
          <w:szCs w:val="24"/>
          <w:lang w:val="es-US"/>
        </w:rPr>
      </w:pPr>
      <w:r w:rsidRPr="00BE2529">
        <w:rPr>
          <w:rFonts w:ascii="Arial" w:hAnsi="Arial"/>
          <w:sz w:val="24"/>
          <w:szCs w:val="24"/>
          <w:lang w:val="es-US"/>
        </w:rPr>
        <w:t xml:space="preserve">Del total de 137 pacientes con inmunofenotipo tumoral Luminal A, que no recibieron tratamiento </w:t>
      </w:r>
      <w:r>
        <w:rPr>
          <w:rFonts w:ascii="Arial" w:hAnsi="Arial"/>
          <w:sz w:val="24"/>
          <w:szCs w:val="24"/>
          <w:lang w:val="es-US"/>
        </w:rPr>
        <w:t>de precisión</w:t>
      </w:r>
      <w:r w:rsidRPr="00BE2529">
        <w:rPr>
          <w:rFonts w:ascii="Arial" w:hAnsi="Arial"/>
          <w:sz w:val="24"/>
          <w:szCs w:val="24"/>
          <w:lang w:val="es-US"/>
        </w:rPr>
        <w:t xml:space="preserve">, </w:t>
      </w:r>
      <w:r>
        <w:rPr>
          <w:rFonts w:ascii="Arial" w:hAnsi="Arial"/>
          <w:sz w:val="24"/>
          <w:szCs w:val="24"/>
          <w:lang w:val="es-US"/>
        </w:rPr>
        <w:t>la tercera parte</w:t>
      </w:r>
      <w:r w:rsidRPr="00BE2529">
        <w:rPr>
          <w:rFonts w:ascii="Arial" w:hAnsi="Arial"/>
          <w:sz w:val="24"/>
          <w:szCs w:val="24"/>
          <w:lang w:val="es-US"/>
        </w:rPr>
        <w:t xml:space="preserve"> tuvo un resultado de inmunohistoquímica en tiempo desconocido. Además,</w:t>
      </w:r>
      <w:r>
        <w:rPr>
          <w:rFonts w:ascii="Arial" w:hAnsi="Arial"/>
          <w:sz w:val="24"/>
          <w:szCs w:val="24"/>
          <w:lang w:val="es-US"/>
        </w:rPr>
        <w:t xml:space="preserve"> 9 de cada 10 pacientes</w:t>
      </w:r>
      <w:r w:rsidRPr="00BE2529">
        <w:rPr>
          <w:rFonts w:ascii="Arial" w:hAnsi="Arial"/>
          <w:sz w:val="24"/>
          <w:szCs w:val="24"/>
          <w:lang w:val="es-US"/>
        </w:rPr>
        <w:t xml:space="preserve"> tuvo un resultado de inmunohistoquímica en tiempo mayor a 1 mes</w:t>
      </w:r>
      <w:r>
        <w:rPr>
          <w:rFonts w:ascii="Arial" w:hAnsi="Arial"/>
          <w:sz w:val="24"/>
          <w:szCs w:val="24"/>
          <w:lang w:val="es-US"/>
        </w:rPr>
        <w:t>.</w:t>
      </w:r>
    </w:p>
    <w:p w14:paraId="7A96DF2B" w14:textId="7D7CED51" w:rsidR="007A1764" w:rsidRDefault="00A02B21" w:rsidP="007A1764">
      <w:pPr>
        <w:spacing w:line="360" w:lineRule="auto"/>
        <w:jc w:val="both"/>
        <w:rPr>
          <w:rFonts w:ascii="Arial" w:hAnsi="Arial"/>
          <w:sz w:val="24"/>
          <w:szCs w:val="24"/>
          <w:lang w:val="es-US"/>
        </w:rPr>
      </w:pPr>
      <w:r w:rsidRPr="00BE2529">
        <w:rPr>
          <w:rFonts w:ascii="Arial" w:hAnsi="Arial"/>
          <w:noProof/>
          <w:sz w:val="24"/>
          <w:szCs w:val="24"/>
          <w:lang w:val="es-ES" w:eastAsia="es-ES"/>
        </w:rPr>
        <w:drawing>
          <wp:inline distT="0" distB="0" distL="0" distR="0" wp14:anchorId="6F2C041E" wp14:editId="604A6774">
            <wp:extent cx="5562600" cy="21209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A1764" w:rsidRPr="007A1764">
        <w:rPr>
          <w:rFonts w:ascii="Arial" w:hAnsi="Arial"/>
          <w:b/>
          <w:bCs/>
          <w:sz w:val="24"/>
          <w:szCs w:val="24"/>
          <w:lang w:val="es-US"/>
        </w:rPr>
        <w:t xml:space="preserve"> </w:t>
      </w:r>
      <w:r w:rsidR="007A1764">
        <w:rPr>
          <w:rFonts w:ascii="Arial" w:hAnsi="Arial"/>
          <w:b/>
          <w:bCs/>
          <w:sz w:val="24"/>
          <w:szCs w:val="24"/>
          <w:lang w:val="es-US"/>
        </w:rPr>
        <w:t>Figura</w:t>
      </w:r>
      <w:r w:rsidR="007A1764" w:rsidRPr="00BE2529">
        <w:rPr>
          <w:rFonts w:ascii="Arial" w:hAnsi="Arial"/>
          <w:b/>
          <w:bCs/>
          <w:sz w:val="24"/>
          <w:szCs w:val="24"/>
          <w:lang w:val="es-US"/>
        </w:rPr>
        <w:t xml:space="preserve"> 3.</w:t>
      </w:r>
      <w:r w:rsidR="007A1764" w:rsidRPr="00BE2529">
        <w:rPr>
          <w:rFonts w:ascii="Arial" w:hAnsi="Arial"/>
          <w:sz w:val="24"/>
          <w:szCs w:val="24"/>
          <w:lang w:val="es-US"/>
        </w:rPr>
        <w:t xml:space="preserve"> Tiempo transcurrido entre el diagnóstico histológico y la obtención del resultado </w:t>
      </w:r>
      <w:r w:rsidR="007A1764">
        <w:rPr>
          <w:rFonts w:ascii="Arial" w:hAnsi="Arial"/>
          <w:sz w:val="24"/>
          <w:szCs w:val="24"/>
          <w:lang w:val="es-US"/>
        </w:rPr>
        <w:t xml:space="preserve">de </w:t>
      </w:r>
      <w:r w:rsidR="007A1764" w:rsidRPr="00BE2529">
        <w:rPr>
          <w:rFonts w:ascii="Arial" w:hAnsi="Arial"/>
          <w:sz w:val="24"/>
          <w:szCs w:val="24"/>
          <w:lang w:val="es-US"/>
        </w:rPr>
        <w:t>inmunohistoquímic</w:t>
      </w:r>
      <w:r w:rsidR="007A1764">
        <w:rPr>
          <w:rFonts w:ascii="Arial" w:hAnsi="Arial"/>
          <w:sz w:val="24"/>
          <w:szCs w:val="24"/>
          <w:lang w:val="es-US"/>
        </w:rPr>
        <w:t>a</w:t>
      </w:r>
      <w:r w:rsidR="007A1764" w:rsidRPr="00BE2529">
        <w:rPr>
          <w:rFonts w:ascii="Arial" w:hAnsi="Arial"/>
          <w:sz w:val="24"/>
          <w:szCs w:val="24"/>
          <w:lang w:val="es-US"/>
        </w:rPr>
        <w:t xml:space="preserve"> en pacientes con inmunofenotipo Luminal A que no recibi</w:t>
      </w:r>
      <w:r w:rsidR="007A1764">
        <w:rPr>
          <w:rFonts w:ascii="Arial" w:hAnsi="Arial"/>
          <w:sz w:val="24"/>
          <w:szCs w:val="24"/>
          <w:lang w:val="es-US"/>
        </w:rPr>
        <w:t>eron</w:t>
      </w:r>
      <w:r w:rsidR="007A1764" w:rsidRPr="00BE2529">
        <w:rPr>
          <w:rFonts w:ascii="Arial" w:hAnsi="Arial"/>
          <w:sz w:val="24"/>
          <w:szCs w:val="24"/>
          <w:lang w:val="es-US"/>
        </w:rPr>
        <w:t xml:space="preserve"> tratamiento </w:t>
      </w:r>
      <w:r w:rsidR="007A1764">
        <w:rPr>
          <w:rFonts w:ascii="Arial" w:hAnsi="Arial"/>
          <w:sz w:val="24"/>
          <w:szCs w:val="24"/>
          <w:lang w:val="es-US"/>
        </w:rPr>
        <w:t>de precisión</w:t>
      </w:r>
      <w:r w:rsidR="007A1764" w:rsidRPr="00BE2529">
        <w:rPr>
          <w:rFonts w:ascii="Arial" w:hAnsi="Arial"/>
          <w:sz w:val="24"/>
          <w:szCs w:val="24"/>
          <w:lang w:val="es-US"/>
        </w:rPr>
        <w:t>. (n=137)</w:t>
      </w:r>
    </w:p>
    <w:p w14:paraId="3CA93882" w14:textId="1876444D" w:rsidR="007A1764" w:rsidRPr="007A1764" w:rsidRDefault="007A1764" w:rsidP="007A1764">
      <w:pPr>
        <w:spacing w:line="360" w:lineRule="auto"/>
        <w:jc w:val="both"/>
        <w:rPr>
          <w:rFonts w:ascii="Arial" w:hAnsi="Arial"/>
          <w:sz w:val="24"/>
          <w:szCs w:val="24"/>
          <w:lang w:val="es-ES"/>
        </w:rPr>
      </w:pPr>
      <w:r w:rsidRPr="004B20BD">
        <w:rPr>
          <w:rFonts w:ascii="Arial" w:hAnsi="Arial"/>
          <w:sz w:val="24"/>
          <w:szCs w:val="24"/>
          <w:lang w:val="es-ES"/>
        </w:rPr>
        <w:t xml:space="preserve">En las pacientes Luminal A, que no recibieron tratamiento personalizado, </w:t>
      </w:r>
      <w:r>
        <w:rPr>
          <w:rFonts w:ascii="Arial" w:hAnsi="Arial"/>
          <w:sz w:val="24"/>
          <w:szCs w:val="24"/>
          <w:lang w:val="es-ES"/>
        </w:rPr>
        <w:t xml:space="preserve">los </w:t>
      </w:r>
      <w:r w:rsidRPr="004B20BD">
        <w:rPr>
          <w:rFonts w:ascii="Arial" w:hAnsi="Arial"/>
          <w:sz w:val="24"/>
          <w:szCs w:val="24"/>
          <w:lang w:val="es-ES"/>
        </w:rPr>
        <w:t>esquema</w:t>
      </w:r>
      <w:r>
        <w:rPr>
          <w:rFonts w:ascii="Arial" w:hAnsi="Arial"/>
          <w:sz w:val="24"/>
          <w:szCs w:val="24"/>
          <w:lang w:val="es-ES"/>
        </w:rPr>
        <w:t>s</w:t>
      </w:r>
      <w:r w:rsidRPr="004B20BD">
        <w:rPr>
          <w:rFonts w:ascii="Arial" w:hAnsi="Arial"/>
          <w:sz w:val="24"/>
          <w:szCs w:val="24"/>
          <w:lang w:val="es-ES"/>
        </w:rPr>
        <w:t xml:space="preserve"> de quimioterapia más utilizado</w:t>
      </w:r>
      <w:r>
        <w:rPr>
          <w:rFonts w:ascii="Arial" w:hAnsi="Arial"/>
          <w:sz w:val="24"/>
          <w:szCs w:val="24"/>
          <w:lang w:val="es-ES"/>
        </w:rPr>
        <w:t>s</w:t>
      </w:r>
      <w:r w:rsidRPr="004B20BD">
        <w:rPr>
          <w:rFonts w:ascii="Arial" w:hAnsi="Arial"/>
          <w:sz w:val="24"/>
          <w:szCs w:val="24"/>
          <w:lang w:val="es-ES"/>
        </w:rPr>
        <w:t xml:space="preserve"> fue</w:t>
      </w:r>
      <w:r>
        <w:rPr>
          <w:rFonts w:ascii="Arial" w:hAnsi="Arial"/>
          <w:sz w:val="24"/>
          <w:szCs w:val="24"/>
          <w:lang w:val="es-ES"/>
        </w:rPr>
        <w:t>ron</w:t>
      </w:r>
      <w:r w:rsidRPr="004B20BD">
        <w:rPr>
          <w:rFonts w:ascii="Arial" w:hAnsi="Arial"/>
          <w:sz w:val="24"/>
          <w:szCs w:val="24"/>
          <w:lang w:val="es-ES"/>
        </w:rPr>
        <w:t xml:space="preserve"> el AC+T (Doxorrubicina-</w:t>
      </w:r>
      <w:r w:rsidRPr="004B20BD">
        <w:rPr>
          <w:rFonts w:ascii="Arial" w:hAnsi="Arial"/>
          <w:sz w:val="24"/>
          <w:szCs w:val="24"/>
          <w:lang w:val="es-ES"/>
        </w:rPr>
        <w:lastRenderedPageBreak/>
        <w:t>Ciclofosfamida + Paclitaxel), seguido por el AC (Doxorrubicina+ Ciclofosfamida) y luego el DC (Docetaxel+ Ciclofosfamida).</w:t>
      </w:r>
    </w:p>
    <w:p w14:paraId="5704F233" w14:textId="01357904" w:rsidR="007A1764" w:rsidRDefault="00A02B21" w:rsidP="007A1764">
      <w:pPr>
        <w:spacing w:line="360" w:lineRule="auto"/>
        <w:jc w:val="both"/>
        <w:rPr>
          <w:rFonts w:ascii="Arial" w:hAnsi="Arial"/>
          <w:sz w:val="24"/>
          <w:szCs w:val="24"/>
          <w:lang w:val="es-ES"/>
        </w:rPr>
      </w:pPr>
      <w:r w:rsidRPr="00BE2529">
        <w:rPr>
          <w:rFonts w:ascii="Arial" w:hAnsi="Arial"/>
          <w:noProof/>
          <w:sz w:val="24"/>
          <w:szCs w:val="24"/>
          <w:lang w:val="es-ES" w:eastAsia="es-ES"/>
        </w:rPr>
        <w:drawing>
          <wp:inline distT="0" distB="0" distL="0" distR="0" wp14:anchorId="4B873843" wp14:editId="007420B5">
            <wp:extent cx="5480050" cy="24130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A1764" w:rsidRPr="007A1764">
        <w:rPr>
          <w:rFonts w:ascii="Arial" w:hAnsi="Arial"/>
          <w:b/>
          <w:bCs/>
          <w:sz w:val="24"/>
          <w:szCs w:val="24"/>
          <w:lang w:val="es-ES"/>
        </w:rPr>
        <w:t xml:space="preserve"> </w:t>
      </w:r>
      <w:r w:rsidR="007A1764">
        <w:rPr>
          <w:rFonts w:ascii="Arial" w:hAnsi="Arial"/>
          <w:b/>
          <w:bCs/>
          <w:sz w:val="24"/>
          <w:szCs w:val="24"/>
          <w:lang w:val="es-ES"/>
        </w:rPr>
        <w:t>Figura</w:t>
      </w:r>
      <w:r w:rsidR="007A1764" w:rsidRPr="00BE2529">
        <w:rPr>
          <w:rFonts w:ascii="Arial" w:hAnsi="Arial"/>
          <w:b/>
          <w:bCs/>
          <w:sz w:val="24"/>
          <w:szCs w:val="24"/>
          <w:lang w:val="es-ES"/>
        </w:rPr>
        <w:t xml:space="preserve"> 4.</w:t>
      </w:r>
      <w:r w:rsidR="007A1764" w:rsidRPr="00BE2529">
        <w:rPr>
          <w:rFonts w:ascii="Arial" w:hAnsi="Arial"/>
          <w:sz w:val="24"/>
          <w:szCs w:val="24"/>
          <w:lang w:val="es-ES"/>
        </w:rPr>
        <w:t xml:space="preserve"> Esquema de tratamiento quimioterapéutico administrado a las pacientes estudiadas.</w:t>
      </w:r>
    </w:p>
    <w:p w14:paraId="7B70466C" w14:textId="64E36458" w:rsidR="007A1764" w:rsidRPr="00BE2529" w:rsidRDefault="007A1764" w:rsidP="007A1764">
      <w:pPr>
        <w:spacing w:line="360" w:lineRule="auto"/>
        <w:jc w:val="both"/>
        <w:rPr>
          <w:rFonts w:ascii="Arial" w:hAnsi="Arial"/>
          <w:sz w:val="24"/>
          <w:szCs w:val="24"/>
          <w:lang w:val="es-ES"/>
        </w:rPr>
      </w:pPr>
      <w:r>
        <w:rPr>
          <w:rFonts w:ascii="Arial" w:hAnsi="Arial"/>
          <w:sz w:val="24"/>
          <w:szCs w:val="24"/>
          <w:lang w:val="es-ES"/>
        </w:rPr>
        <w:t>Las</w:t>
      </w:r>
      <w:r w:rsidRPr="00BE2529">
        <w:rPr>
          <w:rFonts w:ascii="Arial" w:hAnsi="Arial"/>
          <w:sz w:val="24"/>
          <w:szCs w:val="24"/>
          <w:lang w:val="es-ES"/>
        </w:rPr>
        <w:t xml:space="preserve"> pacientes </w:t>
      </w:r>
      <w:r>
        <w:rPr>
          <w:rFonts w:ascii="Arial" w:hAnsi="Arial"/>
          <w:sz w:val="24"/>
          <w:szCs w:val="24"/>
          <w:lang w:val="es-ES"/>
        </w:rPr>
        <w:t>representaron</w:t>
      </w:r>
      <w:r w:rsidRPr="00BE2529">
        <w:rPr>
          <w:rFonts w:ascii="Arial" w:hAnsi="Arial"/>
          <w:sz w:val="24"/>
          <w:szCs w:val="24"/>
          <w:lang w:val="es-ES"/>
        </w:rPr>
        <w:t xml:space="preserve"> un gast</w:t>
      </w:r>
      <w:r>
        <w:rPr>
          <w:rFonts w:ascii="Arial" w:hAnsi="Arial"/>
          <w:sz w:val="24"/>
          <w:szCs w:val="24"/>
          <w:lang w:val="es-ES"/>
        </w:rPr>
        <w:t>o</w:t>
      </w:r>
      <w:r w:rsidRPr="00BE2529">
        <w:rPr>
          <w:rFonts w:ascii="Arial" w:hAnsi="Arial"/>
          <w:sz w:val="24"/>
          <w:szCs w:val="24"/>
          <w:lang w:val="es-ES"/>
        </w:rPr>
        <w:t xml:space="preserve"> de 5 499 torundas, 4 888ml de alcohol y 611 trócar. </w:t>
      </w:r>
      <w:r>
        <w:rPr>
          <w:rFonts w:ascii="Arial" w:hAnsi="Arial"/>
          <w:sz w:val="24"/>
          <w:szCs w:val="24"/>
          <w:lang w:val="es-ES"/>
        </w:rPr>
        <w:t>El esparadrapo se utilizó durante cada ciclo de tratamiento</w:t>
      </w:r>
      <w:r w:rsidRPr="00BE2529">
        <w:rPr>
          <w:rFonts w:ascii="Arial" w:hAnsi="Arial"/>
          <w:sz w:val="24"/>
          <w:szCs w:val="24"/>
          <w:lang w:val="es-ES"/>
        </w:rPr>
        <w:t>. Se emple</w:t>
      </w:r>
      <w:r>
        <w:rPr>
          <w:rFonts w:ascii="Arial" w:hAnsi="Arial"/>
          <w:sz w:val="24"/>
          <w:szCs w:val="24"/>
          <w:lang w:val="es-ES"/>
        </w:rPr>
        <w:t xml:space="preserve">ó </w:t>
      </w:r>
      <w:r w:rsidRPr="00BE2529">
        <w:rPr>
          <w:rFonts w:ascii="Arial" w:hAnsi="Arial"/>
          <w:sz w:val="24"/>
          <w:szCs w:val="24"/>
          <w:lang w:val="es-ES"/>
        </w:rPr>
        <w:t xml:space="preserve">1 833 equipos de venoclisis, 2 444 bolsas de 500ml de solución salina fisiológica al 0,9%, 1 222 jeringuillas de 10ml y 2 444 jeringuillas de 20ml. </w:t>
      </w:r>
    </w:p>
    <w:p w14:paraId="7DE30F30" w14:textId="4FF022CB" w:rsidR="007A1764" w:rsidRDefault="00A02B21" w:rsidP="007A1764">
      <w:pPr>
        <w:spacing w:line="360" w:lineRule="auto"/>
        <w:jc w:val="both"/>
        <w:rPr>
          <w:rFonts w:ascii="Arial" w:hAnsi="Arial"/>
          <w:sz w:val="24"/>
          <w:szCs w:val="24"/>
          <w:lang w:val="es-ES"/>
        </w:rPr>
      </w:pPr>
      <w:r w:rsidRPr="00BE2529">
        <w:rPr>
          <w:rFonts w:ascii="Arial" w:hAnsi="Arial"/>
          <w:noProof/>
          <w:sz w:val="24"/>
          <w:szCs w:val="24"/>
          <w:lang w:val="es-ES" w:eastAsia="es-ES"/>
        </w:rPr>
        <w:drawing>
          <wp:inline distT="0" distB="0" distL="0" distR="0" wp14:anchorId="416C2622" wp14:editId="320708DB">
            <wp:extent cx="5422900" cy="23431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A1764" w:rsidRPr="007A1764">
        <w:rPr>
          <w:rFonts w:ascii="Arial" w:hAnsi="Arial"/>
          <w:b/>
          <w:bCs/>
          <w:sz w:val="24"/>
          <w:szCs w:val="24"/>
          <w:lang w:val="es-ES"/>
        </w:rPr>
        <w:t xml:space="preserve"> </w:t>
      </w:r>
      <w:r w:rsidR="007A1764">
        <w:rPr>
          <w:rFonts w:ascii="Arial" w:hAnsi="Arial"/>
          <w:b/>
          <w:bCs/>
          <w:sz w:val="24"/>
          <w:szCs w:val="24"/>
          <w:lang w:val="es-ES"/>
        </w:rPr>
        <w:t>Figura</w:t>
      </w:r>
      <w:r w:rsidR="007A1764" w:rsidRPr="00BE2529">
        <w:rPr>
          <w:rFonts w:ascii="Arial" w:hAnsi="Arial"/>
          <w:b/>
          <w:bCs/>
          <w:sz w:val="24"/>
          <w:szCs w:val="24"/>
          <w:lang w:val="es-ES"/>
        </w:rPr>
        <w:t xml:space="preserve"> 5.</w:t>
      </w:r>
      <w:r w:rsidR="007A1764" w:rsidRPr="00BE2529">
        <w:rPr>
          <w:rFonts w:ascii="Arial" w:hAnsi="Arial"/>
          <w:sz w:val="24"/>
          <w:szCs w:val="24"/>
          <w:lang w:val="es-ES"/>
        </w:rPr>
        <w:t xml:space="preserve"> Cantidad de insumos médicos consumibles por paciente durante el tratamiento por motivos de quimioterapia y complementarios previos al tratamiento (estimado promedio sin eventualidades)</w:t>
      </w:r>
      <w:r w:rsidR="007A1764">
        <w:rPr>
          <w:rFonts w:ascii="Arial" w:hAnsi="Arial"/>
          <w:sz w:val="24"/>
          <w:szCs w:val="24"/>
          <w:lang w:val="es-ES"/>
        </w:rPr>
        <w:t>.</w:t>
      </w:r>
    </w:p>
    <w:p w14:paraId="75A18174" w14:textId="60DCAED8" w:rsidR="007A1764" w:rsidRPr="00BE2529" w:rsidRDefault="007A1764" w:rsidP="007A1764">
      <w:pPr>
        <w:spacing w:line="360" w:lineRule="auto"/>
        <w:jc w:val="both"/>
        <w:rPr>
          <w:rFonts w:ascii="Arial" w:hAnsi="Arial"/>
          <w:sz w:val="24"/>
          <w:szCs w:val="24"/>
          <w:lang w:val="es-ES"/>
        </w:rPr>
      </w:pPr>
      <w:r>
        <w:rPr>
          <w:rFonts w:ascii="Arial" w:hAnsi="Arial"/>
          <w:sz w:val="24"/>
          <w:szCs w:val="24"/>
          <w:lang w:val="es-ES"/>
        </w:rPr>
        <w:lastRenderedPageBreak/>
        <w:t xml:space="preserve">De </w:t>
      </w:r>
      <w:r w:rsidRPr="00BE2529">
        <w:rPr>
          <w:rFonts w:ascii="Arial" w:hAnsi="Arial"/>
          <w:sz w:val="24"/>
          <w:szCs w:val="24"/>
          <w:lang w:val="es-ES"/>
        </w:rPr>
        <w:t xml:space="preserve">los fármacos citostáticos el más empleado fue la </w:t>
      </w:r>
      <w:r>
        <w:rPr>
          <w:rFonts w:ascii="Arial" w:hAnsi="Arial"/>
          <w:sz w:val="24"/>
          <w:szCs w:val="24"/>
          <w:lang w:val="es-ES"/>
        </w:rPr>
        <w:t>Doxorrubicina (de la ciclofosfamida se utilizó mayor cantidad, pero la presentación en Bulbos de 1g representa menor cantidad de bulbos de medicamento)</w:t>
      </w:r>
      <w:r w:rsidRPr="00BE2529">
        <w:rPr>
          <w:rFonts w:ascii="Arial" w:hAnsi="Arial"/>
          <w:sz w:val="24"/>
          <w:szCs w:val="24"/>
          <w:lang w:val="es-ES"/>
        </w:rPr>
        <w:t xml:space="preserve"> seguido por el tratamiento de soporte con Ondasetrón tabletas</w:t>
      </w:r>
      <w:r>
        <w:rPr>
          <w:rFonts w:ascii="Arial" w:hAnsi="Arial"/>
          <w:sz w:val="24"/>
          <w:szCs w:val="24"/>
          <w:lang w:val="es-ES"/>
        </w:rPr>
        <w:t>.</w:t>
      </w:r>
    </w:p>
    <w:p w14:paraId="356B3656" w14:textId="77777777" w:rsidR="00A02B21" w:rsidRPr="00BE2529" w:rsidRDefault="00A02B21" w:rsidP="00BE2529">
      <w:pPr>
        <w:spacing w:line="360" w:lineRule="auto"/>
        <w:jc w:val="both"/>
        <w:rPr>
          <w:rFonts w:ascii="Arial" w:hAnsi="Arial"/>
          <w:sz w:val="24"/>
          <w:szCs w:val="24"/>
          <w:lang w:val="es-ES"/>
        </w:rPr>
      </w:pPr>
      <w:r w:rsidRPr="00BE2529">
        <w:rPr>
          <w:rFonts w:ascii="Arial" w:hAnsi="Arial"/>
          <w:noProof/>
          <w:sz w:val="24"/>
          <w:szCs w:val="24"/>
          <w:lang w:val="es-ES" w:eastAsia="es-ES"/>
        </w:rPr>
        <w:drawing>
          <wp:inline distT="0" distB="0" distL="0" distR="0" wp14:anchorId="2B15429F" wp14:editId="28AABDBB">
            <wp:extent cx="4953000" cy="20193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F142E4" w14:textId="77777777" w:rsidR="00257D39" w:rsidRDefault="00A02B21" w:rsidP="007A1764">
      <w:pPr>
        <w:spacing w:line="360" w:lineRule="auto"/>
        <w:jc w:val="both"/>
        <w:rPr>
          <w:rFonts w:ascii="Arial" w:hAnsi="Arial"/>
          <w:b/>
          <w:bCs/>
          <w:sz w:val="24"/>
          <w:szCs w:val="24"/>
          <w:lang w:val="es-ES"/>
        </w:rPr>
      </w:pPr>
      <w:r w:rsidRPr="00BE2529">
        <w:rPr>
          <w:rFonts w:ascii="Arial" w:hAnsi="Arial"/>
          <w:noProof/>
          <w:sz w:val="24"/>
          <w:szCs w:val="24"/>
          <w:lang w:val="es-ES" w:eastAsia="es-ES"/>
        </w:rPr>
        <w:drawing>
          <wp:inline distT="0" distB="0" distL="0" distR="0" wp14:anchorId="2884BF2D" wp14:editId="25312B45">
            <wp:extent cx="4953000" cy="18478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A1764" w:rsidRPr="007A1764">
        <w:rPr>
          <w:rFonts w:ascii="Arial" w:hAnsi="Arial"/>
          <w:b/>
          <w:bCs/>
          <w:sz w:val="24"/>
          <w:szCs w:val="24"/>
          <w:lang w:val="es-ES"/>
        </w:rPr>
        <w:t xml:space="preserve"> </w:t>
      </w:r>
    </w:p>
    <w:p w14:paraId="002B54DD" w14:textId="393D8A59" w:rsidR="007A1764" w:rsidRDefault="007A1764" w:rsidP="007A1764">
      <w:pPr>
        <w:spacing w:line="360" w:lineRule="auto"/>
        <w:jc w:val="both"/>
        <w:rPr>
          <w:rFonts w:ascii="Arial" w:hAnsi="Arial"/>
          <w:sz w:val="24"/>
          <w:szCs w:val="24"/>
          <w:lang w:val="es-ES"/>
        </w:rPr>
      </w:pPr>
      <w:r>
        <w:rPr>
          <w:rFonts w:ascii="Arial" w:hAnsi="Arial"/>
          <w:b/>
          <w:bCs/>
          <w:sz w:val="24"/>
          <w:szCs w:val="24"/>
          <w:lang w:val="es-ES"/>
        </w:rPr>
        <w:t>Figuras</w:t>
      </w:r>
      <w:r w:rsidRPr="00BE2529">
        <w:rPr>
          <w:rFonts w:ascii="Arial" w:hAnsi="Arial"/>
          <w:b/>
          <w:bCs/>
          <w:sz w:val="24"/>
          <w:szCs w:val="24"/>
          <w:lang w:val="es-ES"/>
        </w:rPr>
        <w:t xml:space="preserve"> 6 y 7.</w:t>
      </w:r>
      <w:r w:rsidRPr="00BE2529">
        <w:rPr>
          <w:rFonts w:ascii="Arial" w:hAnsi="Arial"/>
          <w:sz w:val="24"/>
          <w:szCs w:val="24"/>
          <w:lang w:val="es-ES"/>
        </w:rPr>
        <w:t xml:space="preserve"> Fármacos citostáticos y de soporte utilizados (ajustado a dosis estándar)</w:t>
      </w:r>
      <w:r>
        <w:rPr>
          <w:rFonts w:ascii="Arial" w:hAnsi="Arial"/>
          <w:sz w:val="24"/>
          <w:szCs w:val="24"/>
          <w:lang w:val="es-ES"/>
        </w:rPr>
        <w:t>.</w:t>
      </w:r>
    </w:p>
    <w:p w14:paraId="631A8FCE" w14:textId="7E7641FD" w:rsidR="00540B1E" w:rsidRPr="00C44284" w:rsidRDefault="00540B1E" w:rsidP="00BE2529">
      <w:pPr>
        <w:spacing w:line="360" w:lineRule="auto"/>
        <w:jc w:val="both"/>
        <w:rPr>
          <w:rFonts w:ascii="Arial" w:hAnsi="Arial"/>
          <w:b/>
          <w:bCs/>
          <w:sz w:val="24"/>
          <w:szCs w:val="24"/>
          <w:lang w:val="es-US"/>
        </w:rPr>
      </w:pPr>
      <w:r w:rsidRPr="00C44284">
        <w:rPr>
          <w:rFonts w:ascii="Arial" w:hAnsi="Arial"/>
          <w:b/>
          <w:bCs/>
          <w:sz w:val="24"/>
          <w:szCs w:val="24"/>
          <w:lang w:val="es-US"/>
        </w:rPr>
        <w:t>Discusión</w:t>
      </w:r>
    </w:p>
    <w:p w14:paraId="4DD77A25" w14:textId="1F25F3BE" w:rsidR="001342F3" w:rsidRDefault="001342F3" w:rsidP="00BE2529">
      <w:pPr>
        <w:spacing w:line="360" w:lineRule="auto"/>
        <w:jc w:val="both"/>
        <w:rPr>
          <w:rFonts w:ascii="Arial" w:hAnsi="Arial"/>
          <w:sz w:val="24"/>
          <w:szCs w:val="24"/>
          <w:lang w:val="es-US"/>
        </w:rPr>
      </w:pPr>
      <w:r>
        <w:rPr>
          <w:rFonts w:ascii="Arial" w:hAnsi="Arial"/>
          <w:sz w:val="24"/>
          <w:szCs w:val="24"/>
          <w:lang w:val="es-US"/>
        </w:rPr>
        <w:t>E</w:t>
      </w:r>
      <w:r w:rsidRPr="001342F3">
        <w:rPr>
          <w:rFonts w:ascii="Arial" w:hAnsi="Arial"/>
          <w:sz w:val="24"/>
          <w:szCs w:val="24"/>
          <w:lang w:val="es-US"/>
        </w:rPr>
        <w:t xml:space="preserve">n Cuba desde el año 1959, con el triunfo de la Revolución Cubana, los cuidados de atención en salud, los recursos humanos y materiales, </w:t>
      </w:r>
      <w:r w:rsidR="00386410">
        <w:rPr>
          <w:rFonts w:ascii="Arial" w:hAnsi="Arial"/>
          <w:sz w:val="24"/>
          <w:szCs w:val="24"/>
          <w:lang w:val="es-US"/>
        </w:rPr>
        <w:t>son libres de costos</w:t>
      </w:r>
      <w:r w:rsidRPr="001342F3">
        <w:rPr>
          <w:rFonts w:ascii="Arial" w:hAnsi="Arial"/>
          <w:sz w:val="24"/>
          <w:szCs w:val="24"/>
          <w:lang w:val="es-US"/>
        </w:rPr>
        <w:t xml:space="preserve"> para quien lo necesita, a disponibilidad del pueblo.  Pero, en cuestiones económicas, representan un costo monetario significativo que repercute en el Producto Interno Bruto Nacional, por lo que, una correcta asignación de gastos es fundamental para un desarrollo económico sostenible. </w:t>
      </w:r>
    </w:p>
    <w:p w14:paraId="13BD3DE9" w14:textId="1D4A8A27" w:rsidR="005309EF" w:rsidRPr="00BE2529" w:rsidRDefault="005309EF" w:rsidP="00BE2529">
      <w:pPr>
        <w:spacing w:line="360" w:lineRule="auto"/>
        <w:jc w:val="both"/>
        <w:rPr>
          <w:rFonts w:ascii="Arial" w:hAnsi="Arial"/>
          <w:sz w:val="24"/>
          <w:szCs w:val="24"/>
          <w:lang w:val="es-US"/>
        </w:rPr>
      </w:pPr>
      <w:r w:rsidRPr="00BE2529">
        <w:rPr>
          <w:rFonts w:ascii="Arial" w:hAnsi="Arial"/>
          <w:sz w:val="24"/>
          <w:szCs w:val="24"/>
          <w:lang w:val="es-US"/>
        </w:rPr>
        <w:lastRenderedPageBreak/>
        <w:t>En cuanto a la caracterización basad</w:t>
      </w:r>
      <w:r w:rsidR="00C44284">
        <w:rPr>
          <w:rFonts w:ascii="Arial" w:hAnsi="Arial"/>
          <w:sz w:val="24"/>
          <w:szCs w:val="24"/>
          <w:lang w:val="es-US"/>
        </w:rPr>
        <w:t>a</w:t>
      </w:r>
      <w:r w:rsidRPr="00BE2529">
        <w:rPr>
          <w:rFonts w:ascii="Arial" w:hAnsi="Arial"/>
          <w:sz w:val="24"/>
          <w:szCs w:val="24"/>
          <w:lang w:val="es-US"/>
        </w:rPr>
        <w:t xml:space="preserve"> en los subtipos por inmunofenotipo nuestros resultados se aproximan a los reportados por el </w:t>
      </w:r>
      <w:r w:rsidRPr="005E3DA0">
        <w:rPr>
          <w:rFonts w:ascii="Arial" w:hAnsi="Arial"/>
          <w:i/>
          <w:iCs/>
          <w:sz w:val="24"/>
          <w:szCs w:val="24"/>
          <w:lang w:val="es-US"/>
        </w:rPr>
        <w:t>Dr. Soriano</w:t>
      </w:r>
      <w:r w:rsidRPr="00BE2529">
        <w:rPr>
          <w:rFonts w:ascii="Arial" w:hAnsi="Arial"/>
          <w:sz w:val="24"/>
          <w:szCs w:val="24"/>
          <w:lang w:val="es-US"/>
        </w:rPr>
        <w:t xml:space="preserve"> </w:t>
      </w:r>
      <w:r w:rsidRPr="0005699B">
        <w:rPr>
          <w:rFonts w:ascii="Arial" w:hAnsi="Arial"/>
          <w:sz w:val="24"/>
          <w:szCs w:val="24"/>
          <w:vertAlign w:val="superscript"/>
          <w:lang w:val="es-US"/>
        </w:rPr>
        <w:t>(</w:t>
      </w:r>
      <w:r w:rsidR="000C3019" w:rsidRPr="0005699B">
        <w:rPr>
          <w:rFonts w:ascii="Arial" w:hAnsi="Arial"/>
          <w:sz w:val="24"/>
          <w:szCs w:val="24"/>
          <w:vertAlign w:val="superscript"/>
          <w:lang w:val="es-US"/>
        </w:rPr>
        <w:t>4</w:t>
      </w:r>
      <w:r w:rsidRPr="0005699B">
        <w:rPr>
          <w:rFonts w:ascii="Arial" w:hAnsi="Arial"/>
          <w:sz w:val="24"/>
          <w:szCs w:val="24"/>
          <w:vertAlign w:val="superscript"/>
          <w:lang w:val="es-US"/>
        </w:rPr>
        <w:t>)</w:t>
      </w:r>
      <w:r w:rsidR="001342F3">
        <w:rPr>
          <w:rFonts w:ascii="Arial" w:hAnsi="Arial"/>
          <w:sz w:val="24"/>
          <w:szCs w:val="24"/>
          <w:lang w:val="es-US"/>
        </w:rPr>
        <w:t xml:space="preserve"> que </w:t>
      </w:r>
      <w:r w:rsidRPr="00BE2529">
        <w:rPr>
          <w:rFonts w:ascii="Arial" w:hAnsi="Arial"/>
          <w:sz w:val="24"/>
          <w:szCs w:val="24"/>
          <w:lang w:val="es-US"/>
        </w:rPr>
        <w:t>planteó que en Cuba la incidencia por subtipos de cáncer de mama se comportó de la siguiente manera: Luminal A 11-15%, Luminal B Her2 negativo 50-62</w:t>
      </w:r>
      <w:r w:rsidR="00386410">
        <w:rPr>
          <w:rFonts w:ascii="Arial" w:hAnsi="Arial"/>
          <w:sz w:val="24"/>
          <w:szCs w:val="24"/>
          <w:lang w:val="es-US"/>
        </w:rPr>
        <w:t xml:space="preserve"> </w:t>
      </w:r>
      <w:r w:rsidRPr="00BE2529">
        <w:rPr>
          <w:rFonts w:ascii="Arial" w:hAnsi="Arial"/>
          <w:sz w:val="24"/>
          <w:szCs w:val="24"/>
          <w:lang w:val="es-US"/>
        </w:rPr>
        <w:t>%, Luminal B Her2 positivo 8-11</w:t>
      </w:r>
      <w:r w:rsidR="00386410">
        <w:rPr>
          <w:rFonts w:ascii="Arial" w:hAnsi="Arial"/>
          <w:sz w:val="24"/>
          <w:szCs w:val="24"/>
          <w:lang w:val="es-US"/>
        </w:rPr>
        <w:t xml:space="preserve"> </w:t>
      </w:r>
      <w:r w:rsidRPr="00BE2529">
        <w:rPr>
          <w:rFonts w:ascii="Arial" w:hAnsi="Arial"/>
          <w:sz w:val="24"/>
          <w:szCs w:val="24"/>
          <w:lang w:val="es-US"/>
        </w:rPr>
        <w:t>%, Her2 positivo 7-9</w:t>
      </w:r>
      <w:r w:rsidR="00386410">
        <w:rPr>
          <w:rFonts w:ascii="Arial" w:hAnsi="Arial"/>
          <w:sz w:val="24"/>
          <w:szCs w:val="24"/>
          <w:lang w:val="es-US"/>
        </w:rPr>
        <w:t xml:space="preserve"> </w:t>
      </w:r>
      <w:r w:rsidRPr="00BE2529">
        <w:rPr>
          <w:rFonts w:ascii="Arial" w:hAnsi="Arial"/>
          <w:sz w:val="24"/>
          <w:szCs w:val="24"/>
          <w:lang w:val="es-US"/>
        </w:rPr>
        <w:t>%, triple negativa 12-15</w:t>
      </w:r>
      <w:r w:rsidR="00386410">
        <w:rPr>
          <w:rFonts w:ascii="Arial" w:hAnsi="Arial"/>
          <w:sz w:val="24"/>
          <w:szCs w:val="24"/>
          <w:lang w:val="es-US"/>
        </w:rPr>
        <w:t xml:space="preserve"> </w:t>
      </w:r>
      <w:r w:rsidRPr="00BE2529">
        <w:rPr>
          <w:rFonts w:ascii="Arial" w:hAnsi="Arial"/>
          <w:sz w:val="24"/>
          <w:szCs w:val="24"/>
          <w:lang w:val="es-US"/>
        </w:rPr>
        <w:t xml:space="preserve">%. </w:t>
      </w:r>
      <w:r w:rsidRPr="001342F3">
        <w:rPr>
          <w:rFonts w:ascii="Arial" w:hAnsi="Arial"/>
          <w:i/>
          <w:iCs/>
          <w:sz w:val="24"/>
          <w:szCs w:val="24"/>
          <w:lang w:val="es-US"/>
        </w:rPr>
        <w:t>Ramírez</w:t>
      </w:r>
      <w:r w:rsidR="00C44284">
        <w:rPr>
          <w:rFonts w:ascii="Arial" w:hAnsi="Arial"/>
          <w:sz w:val="24"/>
          <w:szCs w:val="24"/>
          <w:lang w:val="es-US"/>
        </w:rPr>
        <w:t>,</w:t>
      </w:r>
      <w:r w:rsidRPr="00BE2529">
        <w:rPr>
          <w:rFonts w:ascii="Arial" w:hAnsi="Arial"/>
          <w:sz w:val="24"/>
          <w:szCs w:val="24"/>
          <w:lang w:val="es-US"/>
        </w:rPr>
        <w:t xml:space="preserve"> </w:t>
      </w:r>
      <w:r w:rsidR="001342F3" w:rsidRPr="0005699B">
        <w:rPr>
          <w:rFonts w:ascii="Arial" w:hAnsi="Arial"/>
          <w:sz w:val="24"/>
          <w:szCs w:val="24"/>
          <w:vertAlign w:val="superscript"/>
          <w:lang w:val="es-US"/>
        </w:rPr>
        <w:t>(5)</w:t>
      </w:r>
      <w:r w:rsidR="001342F3">
        <w:rPr>
          <w:rFonts w:ascii="Arial" w:hAnsi="Arial"/>
          <w:sz w:val="24"/>
          <w:szCs w:val="24"/>
          <w:vertAlign w:val="superscript"/>
          <w:lang w:val="es-US"/>
        </w:rPr>
        <w:t xml:space="preserve"> </w:t>
      </w:r>
      <w:r w:rsidRPr="00BE2529">
        <w:rPr>
          <w:rFonts w:ascii="Arial" w:hAnsi="Arial"/>
          <w:sz w:val="24"/>
          <w:szCs w:val="24"/>
          <w:lang w:val="es-US"/>
        </w:rPr>
        <w:t>en Pinar del Río</w:t>
      </w:r>
      <w:r w:rsidR="00C44284">
        <w:rPr>
          <w:rFonts w:ascii="Arial" w:hAnsi="Arial"/>
          <w:sz w:val="24"/>
          <w:szCs w:val="24"/>
          <w:lang w:val="es-US"/>
        </w:rPr>
        <w:t>,</w:t>
      </w:r>
      <w:r w:rsidRPr="00BE2529">
        <w:rPr>
          <w:rFonts w:ascii="Arial" w:hAnsi="Arial"/>
          <w:sz w:val="24"/>
          <w:szCs w:val="24"/>
          <w:lang w:val="es-US"/>
        </w:rPr>
        <w:t xml:space="preserve"> </w:t>
      </w:r>
      <w:r w:rsidR="001342F3" w:rsidRPr="005E3DA0">
        <w:rPr>
          <w:rFonts w:ascii="Arial" w:hAnsi="Arial"/>
          <w:i/>
          <w:iCs/>
          <w:sz w:val="24"/>
          <w:szCs w:val="24"/>
          <w:lang w:val="es-US"/>
        </w:rPr>
        <w:t>Poveda</w:t>
      </w:r>
      <w:r w:rsidR="001342F3" w:rsidRPr="00BE2529">
        <w:rPr>
          <w:rFonts w:ascii="Arial" w:hAnsi="Arial"/>
          <w:sz w:val="24"/>
          <w:szCs w:val="24"/>
          <w:lang w:val="es-US"/>
        </w:rPr>
        <w:t xml:space="preserve"> en Nicaragua </w:t>
      </w:r>
      <w:r w:rsidR="001342F3" w:rsidRPr="0005699B">
        <w:rPr>
          <w:rFonts w:ascii="Arial" w:hAnsi="Arial"/>
          <w:sz w:val="24"/>
          <w:szCs w:val="24"/>
          <w:vertAlign w:val="superscript"/>
          <w:lang w:val="es-US"/>
        </w:rPr>
        <w:t>(6)</w:t>
      </w:r>
      <w:r w:rsidR="001342F3" w:rsidRPr="00BE2529">
        <w:rPr>
          <w:rFonts w:ascii="Arial" w:hAnsi="Arial"/>
          <w:sz w:val="24"/>
          <w:szCs w:val="24"/>
          <w:lang w:val="es-US"/>
        </w:rPr>
        <w:t xml:space="preserve"> </w:t>
      </w:r>
      <w:r w:rsidR="001342F3">
        <w:rPr>
          <w:rFonts w:ascii="Arial" w:hAnsi="Arial"/>
          <w:sz w:val="24"/>
          <w:szCs w:val="24"/>
          <w:lang w:val="es-US"/>
        </w:rPr>
        <w:t>mostraron</w:t>
      </w:r>
      <w:r w:rsidRPr="00BE2529">
        <w:rPr>
          <w:rFonts w:ascii="Arial" w:hAnsi="Arial"/>
          <w:sz w:val="24"/>
          <w:szCs w:val="24"/>
          <w:lang w:val="es-US"/>
        </w:rPr>
        <w:t xml:space="preserve"> cifras similares La sobreexpresión de Her2 representa entre el 15</w:t>
      </w:r>
      <w:r w:rsidR="00386410">
        <w:rPr>
          <w:rFonts w:ascii="Arial" w:hAnsi="Arial"/>
          <w:sz w:val="24"/>
          <w:szCs w:val="24"/>
          <w:lang w:val="es-US"/>
        </w:rPr>
        <w:t xml:space="preserve"> </w:t>
      </w:r>
      <w:r w:rsidRPr="00BE2529">
        <w:rPr>
          <w:rFonts w:ascii="Arial" w:hAnsi="Arial"/>
          <w:sz w:val="24"/>
          <w:szCs w:val="24"/>
          <w:lang w:val="es-US"/>
        </w:rPr>
        <w:t>% al 20</w:t>
      </w:r>
      <w:r w:rsidR="00386410">
        <w:rPr>
          <w:rFonts w:ascii="Arial" w:hAnsi="Arial"/>
          <w:sz w:val="24"/>
          <w:szCs w:val="24"/>
          <w:lang w:val="es-US"/>
        </w:rPr>
        <w:t xml:space="preserve"> </w:t>
      </w:r>
      <w:r w:rsidRPr="00BE2529">
        <w:rPr>
          <w:rFonts w:ascii="Arial" w:hAnsi="Arial"/>
          <w:sz w:val="24"/>
          <w:szCs w:val="24"/>
          <w:lang w:val="es-US"/>
        </w:rPr>
        <w:t xml:space="preserve">% de todos los tumores de mama. </w:t>
      </w:r>
      <w:r w:rsidRPr="0005699B">
        <w:rPr>
          <w:rFonts w:ascii="Arial" w:hAnsi="Arial"/>
          <w:sz w:val="24"/>
          <w:szCs w:val="24"/>
          <w:vertAlign w:val="superscript"/>
          <w:lang w:val="es-US"/>
        </w:rPr>
        <w:t>(</w:t>
      </w:r>
      <w:r w:rsidR="000C3019" w:rsidRPr="0005699B">
        <w:rPr>
          <w:rFonts w:ascii="Arial" w:hAnsi="Arial"/>
          <w:sz w:val="24"/>
          <w:szCs w:val="24"/>
          <w:vertAlign w:val="superscript"/>
          <w:lang w:val="es-US"/>
        </w:rPr>
        <w:t>7</w:t>
      </w:r>
      <w:r w:rsidRPr="0005699B">
        <w:rPr>
          <w:rFonts w:ascii="Arial" w:hAnsi="Arial"/>
          <w:sz w:val="24"/>
          <w:szCs w:val="24"/>
          <w:vertAlign w:val="superscript"/>
          <w:lang w:val="es-US"/>
        </w:rPr>
        <w:t>)</w:t>
      </w:r>
      <w:r w:rsidRPr="00BE2529">
        <w:rPr>
          <w:rFonts w:ascii="Arial" w:hAnsi="Arial"/>
          <w:sz w:val="24"/>
          <w:szCs w:val="24"/>
          <w:lang w:val="es-US"/>
        </w:rPr>
        <w:t xml:space="preserve"> En México </w:t>
      </w:r>
      <w:proofErr w:type="spellStart"/>
      <w:proofErr w:type="gramStart"/>
      <w:r w:rsidRPr="005E3DA0">
        <w:rPr>
          <w:rFonts w:ascii="Arial" w:hAnsi="Arial"/>
          <w:i/>
          <w:iCs/>
          <w:sz w:val="24"/>
          <w:szCs w:val="24"/>
          <w:lang w:val="es-US"/>
        </w:rPr>
        <w:t>Maffuz</w:t>
      </w:r>
      <w:proofErr w:type="spellEnd"/>
      <w:r w:rsidRPr="0005699B">
        <w:rPr>
          <w:rFonts w:ascii="Arial" w:hAnsi="Arial"/>
          <w:sz w:val="24"/>
          <w:szCs w:val="24"/>
          <w:vertAlign w:val="superscript"/>
          <w:lang w:val="es-US"/>
        </w:rPr>
        <w:t>(</w:t>
      </w:r>
      <w:proofErr w:type="gramEnd"/>
      <w:r w:rsidR="000C3019" w:rsidRPr="0005699B">
        <w:rPr>
          <w:rFonts w:ascii="Arial" w:hAnsi="Arial"/>
          <w:sz w:val="24"/>
          <w:szCs w:val="24"/>
          <w:vertAlign w:val="superscript"/>
          <w:lang w:val="es-US"/>
        </w:rPr>
        <w:t>8</w:t>
      </w:r>
      <w:r w:rsidRPr="0005699B">
        <w:rPr>
          <w:rFonts w:ascii="Arial" w:hAnsi="Arial"/>
          <w:sz w:val="24"/>
          <w:szCs w:val="24"/>
          <w:vertAlign w:val="superscript"/>
          <w:lang w:val="es-US"/>
        </w:rPr>
        <w:t>)</w:t>
      </w:r>
      <w:r w:rsidRPr="00BE2529">
        <w:rPr>
          <w:rFonts w:ascii="Arial" w:hAnsi="Arial"/>
          <w:sz w:val="24"/>
          <w:szCs w:val="24"/>
          <w:lang w:val="es-US"/>
        </w:rPr>
        <w:t xml:space="preserve"> encontró que el 65,7 % fueron luminales; el 10,9</w:t>
      </w:r>
      <w:r w:rsidR="00386410">
        <w:rPr>
          <w:rFonts w:ascii="Arial" w:hAnsi="Arial"/>
          <w:sz w:val="24"/>
          <w:szCs w:val="24"/>
          <w:lang w:val="es-US"/>
        </w:rPr>
        <w:t xml:space="preserve"> </w:t>
      </w:r>
      <w:r w:rsidRPr="00BE2529">
        <w:rPr>
          <w:rFonts w:ascii="Arial" w:hAnsi="Arial"/>
          <w:sz w:val="24"/>
          <w:szCs w:val="24"/>
          <w:lang w:val="es-US"/>
        </w:rPr>
        <w:t>% luminales Her2 positivo; el 8,7 % Her2 puro y el 14,6 % triple negativo. La NAACCR (</w:t>
      </w:r>
      <w:r w:rsidRPr="00E34353">
        <w:rPr>
          <w:rFonts w:ascii="Arial" w:hAnsi="Arial"/>
          <w:i/>
          <w:iCs/>
          <w:sz w:val="24"/>
          <w:szCs w:val="24"/>
          <w:lang w:val="es-US"/>
        </w:rPr>
        <w:t xml:space="preserve">North American </w:t>
      </w:r>
      <w:proofErr w:type="spellStart"/>
      <w:r w:rsidRPr="00E34353">
        <w:rPr>
          <w:rFonts w:ascii="Arial" w:hAnsi="Arial"/>
          <w:i/>
          <w:iCs/>
          <w:sz w:val="24"/>
          <w:szCs w:val="24"/>
          <w:lang w:val="es-US"/>
        </w:rPr>
        <w:t>Association</w:t>
      </w:r>
      <w:proofErr w:type="spellEnd"/>
      <w:r w:rsidR="006747DD" w:rsidRPr="00E34353">
        <w:rPr>
          <w:rFonts w:ascii="Arial" w:hAnsi="Arial"/>
          <w:i/>
          <w:iCs/>
          <w:sz w:val="24"/>
          <w:szCs w:val="24"/>
          <w:lang w:val="es-US"/>
        </w:rPr>
        <w:t xml:space="preserve"> </w:t>
      </w:r>
      <w:proofErr w:type="spellStart"/>
      <w:r w:rsidRPr="00E34353">
        <w:rPr>
          <w:rFonts w:ascii="Arial" w:hAnsi="Arial"/>
          <w:i/>
          <w:iCs/>
          <w:sz w:val="24"/>
          <w:szCs w:val="24"/>
          <w:lang w:val="es-US"/>
        </w:rPr>
        <w:t>of</w:t>
      </w:r>
      <w:proofErr w:type="spellEnd"/>
      <w:r w:rsidRPr="00E34353">
        <w:rPr>
          <w:rFonts w:ascii="Arial" w:hAnsi="Arial"/>
          <w:i/>
          <w:iCs/>
          <w:sz w:val="24"/>
          <w:szCs w:val="24"/>
          <w:lang w:val="es-US"/>
        </w:rPr>
        <w:t xml:space="preserve"> Central Cancer Registres</w:t>
      </w:r>
      <w:r w:rsidRPr="00BE2529">
        <w:rPr>
          <w:rFonts w:ascii="Arial" w:hAnsi="Arial"/>
          <w:sz w:val="24"/>
          <w:szCs w:val="24"/>
          <w:lang w:val="es-US"/>
        </w:rPr>
        <w:t xml:space="preserve">) en estudio realizado entre 2012 y 2016 </w:t>
      </w:r>
      <w:r w:rsidR="005E3DA0" w:rsidRPr="0005699B">
        <w:rPr>
          <w:rFonts w:ascii="Arial" w:hAnsi="Arial"/>
          <w:sz w:val="24"/>
          <w:szCs w:val="24"/>
          <w:vertAlign w:val="superscript"/>
          <w:lang w:val="es-US"/>
        </w:rPr>
        <w:t>(10)</w:t>
      </w:r>
      <w:r w:rsidR="005E3DA0">
        <w:rPr>
          <w:rFonts w:ascii="Arial" w:hAnsi="Arial"/>
          <w:sz w:val="24"/>
          <w:szCs w:val="24"/>
          <w:vertAlign w:val="superscript"/>
          <w:lang w:val="es-US"/>
        </w:rPr>
        <w:t xml:space="preserve"> </w:t>
      </w:r>
      <w:r w:rsidRPr="00BE2529">
        <w:rPr>
          <w:rFonts w:ascii="Arial" w:hAnsi="Arial"/>
          <w:sz w:val="24"/>
          <w:szCs w:val="24"/>
          <w:lang w:val="es-US"/>
        </w:rPr>
        <w:t>mostró el mayor grupo constituido por pacientes con tumores con receptores hormonales positivos en el 73</w:t>
      </w:r>
      <w:r w:rsidR="00A41441">
        <w:rPr>
          <w:rFonts w:ascii="Arial" w:hAnsi="Arial"/>
          <w:sz w:val="24"/>
          <w:szCs w:val="24"/>
          <w:lang w:val="es-US"/>
        </w:rPr>
        <w:t xml:space="preserve"> </w:t>
      </w:r>
      <w:r w:rsidRPr="00BE2529">
        <w:rPr>
          <w:rFonts w:ascii="Arial" w:hAnsi="Arial"/>
          <w:sz w:val="24"/>
          <w:szCs w:val="24"/>
          <w:lang w:val="es-US"/>
        </w:rPr>
        <w:t>%, luminal B Her2 positivo en 11</w:t>
      </w:r>
      <w:r w:rsidR="00A41441">
        <w:rPr>
          <w:rFonts w:ascii="Arial" w:hAnsi="Arial"/>
          <w:sz w:val="24"/>
          <w:szCs w:val="24"/>
          <w:lang w:val="es-US"/>
        </w:rPr>
        <w:t xml:space="preserve"> </w:t>
      </w:r>
      <w:r w:rsidRPr="00BE2529">
        <w:rPr>
          <w:rFonts w:ascii="Arial" w:hAnsi="Arial"/>
          <w:sz w:val="24"/>
          <w:szCs w:val="24"/>
          <w:lang w:val="es-US"/>
        </w:rPr>
        <w:t>%,</w:t>
      </w:r>
      <w:r w:rsidR="001F241F">
        <w:rPr>
          <w:rFonts w:ascii="Arial" w:hAnsi="Arial"/>
          <w:sz w:val="24"/>
          <w:szCs w:val="24"/>
          <w:lang w:val="es-US"/>
        </w:rPr>
        <w:t xml:space="preserve"> </w:t>
      </w:r>
      <w:r w:rsidRPr="00BE2529">
        <w:rPr>
          <w:rFonts w:ascii="Arial" w:hAnsi="Arial"/>
          <w:sz w:val="24"/>
          <w:szCs w:val="24"/>
          <w:lang w:val="es-US"/>
        </w:rPr>
        <w:t>expresión de Her2 en 4</w:t>
      </w:r>
      <w:r w:rsidR="00A41441">
        <w:rPr>
          <w:rFonts w:ascii="Arial" w:hAnsi="Arial"/>
          <w:sz w:val="24"/>
          <w:szCs w:val="24"/>
          <w:lang w:val="es-US"/>
        </w:rPr>
        <w:t xml:space="preserve"> </w:t>
      </w:r>
      <w:r w:rsidRPr="00BE2529">
        <w:rPr>
          <w:rFonts w:ascii="Arial" w:hAnsi="Arial"/>
          <w:sz w:val="24"/>
          <w:szCs w:val="24"/>
          <w:lang w:val="es-US"/>
        </w:rPr>
        <w:t>% y triple negativa en 12</w:t>
      </w:r>
      <w:r w:rsidR="00A41441">
        <w:rPr>
          <w:rFonts w:ascii="Arial" w:hAnsi="Arial"/>
          <w:sz w:val="24"/>
          <w:szCs w:val="24"/>
          <w:lang w:val="es-US"/>
        </w:rPr>
        <w:t xml:space="preserve"> </w:t>
      </w:r>
      <w:r w:rsidRPr="00BE2529">
        <w:rPr>
          <w:rFonts w:ascii="Arial" w:hAnsi="Arial"/>
          <w:sz w:val="24"/>
          <w:szCs w:val="24"/>
          <w:lang w:val="es-US"/>
        </w:rPr>
        <w:t xml:space="preserve">%. </w:t>
      </w:r>
      <w:r w:rsidRPr="0005699B">
        <w:rPr>
          <w:rFonts w:ascii="Arial" w:hAnsi="Arial"/>
          <w:sz w:val="24"/>
          <w:szCs w:val="24"/>
          <w:vertAlign w:val="superscript"/>
          <w:lang w:val="es-US"/>
        </w:rPr>
        <w:t>(</w:t>
      </w:r>
      <w:r w:rsidR="000C3019" w:rsidRPr="0005699B">
        <w:rPr>
          <w:rFonts w:ascii="Arial" w:hAnsi="Arial"/>
          <w:sz w:val="24"/>
          <w:szCs w:val="24"/>
          <w:vertAlign w:val="superscript"/>
          <w:lang w:val="es-US"/>
        </w:rPr>
        <w:t>9</w:t>
      </w:r>
      <w:r w:rsidRPr="0005699B">
        <w:rPr>
          <w:rFonts w:ascii="Arial" w:hAnsi="Arial"/>
          <w:sz w:val="24"/>
          <w:szCs w:val="24"/>
          <w:vertAlign w:val="superscript"/>
          <w:lang w:val="es-US"/>
        </w:rPr>
        <w:t>)</w:t>
      </w:r>
      <w:r w:rsidRPr="00BE2529">
        <w:rPr>
          <w:rFonts w:ascii="Arial" w:hAnsi="Arial"/>
          <w:sz w:val="24"/>
          <w:szCs w:val="24"/>
          <w:lang w:val="es-US"/>
        </w:rPr>
        <w:t xml:space="preserve"> </w:t>
      </w:r>
    </w:p>
    <w:p w14:paraId="5DFCD308" w14:textId="32D4B79C" w:rsidR="005309EF" w:rsidRPr="0005699B" w:rsidRDefault="005309EF" w:rsidP="008F3539">
      <w:pPr>
        <w:spacing w:after="0" w:line="360" w:lineRule="auto"/>
        <w:jc w:val="both"/>
        <w:rPr>
          <w:rFonts w:ascii="Arial" w:hAnsi="Arial"/>
          <w:sz w:val="24"/>
          <w:szCs w:val="24"/>
          <w:vertAlign w:val="superscript"/>
          <w:lang w:val="es-US"/>
        </w:rPr>
      </w:pPr>
      <w:r w:rsidRPr="00BE2529">
        <w:rPr>
          <w:rFonts w:ascii="Arial" w:hAnsi="Arial"/>
          <w:sz w:val="24"/>
          <w:szCs w:val="24"/>
          <w:lang w:val="es-US"/>
        </w:rPr>
        <w:t xml:space="preserve">La presencia de </w:t>
      </w:r>
      <w:r w:rsidR="004B20BD" w:rsidRPr="004B20BD">
        <w:rPr>
          <w:rFonts w:ascii="Arial" w:hAnsi="Arial"/>
          <w:sz w:val="24"/>
          <w:szCs w:val="24"/>
          <w:lang w:val="es-US"/>
        </w:rPr>
        <w:t>receptores de estrógenos</w:t>
      </w:r>
      <w:r w:rsidR="00030D5C" w:rsidRPr="004B20BD">
        <w:rPr>
          <w:rFonts w:ascii="Arial" w:hAnsi="Arial"/>
          <w:sz w:val="24"/>
          <w:szCs w:val="24"/>
          <w:lang w:val="es-US"/>
        </w:rPr>
        <w:t xml:space="preserve"> </w:t>
      </w:r>
      <w:r w:rsidR="004B20BD" w:rsidRPr="004B20BD">
        <w:rPr>
          <w:rFonts w:ascii="Arial" w:hAnsi="Arial"/>
          <w:sz w:val="24"/>
          <w:szCs w:val="24"/>
          <w:lang w:val="es-US"/>
        </w:rPr>
        <w:t xml:space="preserve">(RE) </w:t>
      </w:r>
      <w:r w:rsidR="00030D5C" w:rsidRPr="004B20BD">
        <w:rPr>
          <w:rFonts w:ascii="Arial" w:hAnsi="Arial"/>
          <w:sz w:val="24"/>
          <w:szCs w:val="24"/>
          <w:lang w:val="es-US"/>
        </w:rPr>
        <w:t xml:space="preserve">y </w:t>
      </w:r>
      <w:r w:rsidR="004B20BD">
        <w:rPr>
          <w:rFonts w:ascii="Arial" w:hAnsi="Arial"/>
          <w:sz w:val="24"/>
          <w:szCs w:val="24"/>
          <w:lang w:val="es-US"/>
        </w:rPr>
        <w:t>receptores de progestágenos</w:t>
      </w:r>
      <w:r w:rsidR="00030D5C">
        <w:rPr>
          <w:rFonts w:ascii="Arial" w:hAnsi="Arial"/>
          <w:sz w:val="24"/>
          <w:szCs w:val="24"/>
          <w:lang w:val="es-US"/>
        </w:rPr>
        <w:t xml:space="preserve"> </w:t>
      </w:r>
      <w:r w:rsidR="004B20BD">
        <w:rPr>
          <w:rFonts w:ascii="Arial" w:hAnsi="Arial"/>
          <w:sz w:val="24"/>
          <w:szCs w:val="24"/>
          <w:lang w:val="es-US"/>
        </w:rPr>
        <w:t xml:space="preserve">(RP) </w:t>
      </w:r>
      <w:r w:rsidRPr="00BE2529">
        <w:rPr>
          <w:rFonts w:ascii="Arial" w:hAnsi="Arial"/>
          <w:sz w:val="24"/>
          <w:szCs w:val="24"/>
          <w:lang w:val="es-US"/>
        </w:rPr>
        <w:t>en el mismo tumor aumenta la probabilidad de respuesta a la administración de tratamientos hormonales</w:t>
      </w:r>
      <w:r w:rsidR="00B34064">
        <w:rPr>
          <w:rFonts w:ascii="Arial" w:hAnsi="Arial"/>
          <w:sz w:val="24"/>
          <w:szCs w:val="24"/>
          <w:lang w:val="es-US"/>
        </w:rPr>
        <w:t xml:space="preserve"> que </w:t>
      </w:r>
      <w:r w:rsidR="00056938">
        <w:rPr>
          <w:rFonts w:ascii="Arial" w:hAnsi="Arial"/>
          <w:sz w:val="24"/>
          <w:szCs w:val="24"/>
          <w:lang w:val="es-US"/>
        </w:rPr>
        <w:t xml:space="preserve">se relaciona con la expresión de estos receptores: </w:t>
      </w:r>
      <w:r w:rsidR="00B34064">
        <w:rPr>
          <w:rFonts w:ascii="Arial" w:hAnsi="Arial"/>
          <w:sz w:val="24"/>
          <w:szCs w:val="24"/>
          <w:lang w:val="es-US"/>
        </w:rPr>
        <w:t>≥</w:t>
      </w:r>
      <w:r w:rsidR="00056938">
        <w:rPr>
          <w:rFonts w:ascii="Arial" w:hAnsi="Arial"/>
          <w:sz w:val="24"/>
          <w:szCs w:val="24"/>
          <w:lang w:val="es-US"/>
        </w:rPr>
        <w:t>1-</w:t>
      </w:r>
      <w:r w:rsidR="00B34064">
        <w:rPr>
          <w:rFonts w:ascii="Arial" w:hAnsi="Arial"/>
          <w:sz w:val="24"/>
          <w:szCs w:val="24"/>
          <w:lang w:val="es-US"/>
        </w:rPr>
        <w:t xml:space="preserve"> </w:t>
      </w:r>
      <w:r w:rsidR="00056938">
        <w:rPr>
          <w:rFonts w:ascii="Arial" w:hAnsi="Arial"/>
          <w:sz w:val="24"/>
          <w:szCs w:val="24"/>
          <w:lang w:val="es-US"/>
        </w:rPr>
        <w:t>10 % se consideran mal respondedores mientras que ≥90 % serán buenos respondedores</w:t>
      </w:r>
      <w:r w:rsidRPr="00BE2529">
        <w:rPr>
          <w:rFonts w:ascii="Arial" w:hAnsi="Arial"/>
          <w:sz w:val="24"/>
          <w:szCs w:val="24"/>
          <w:lang w:val="es-US"/>
        </w:rPr>
        <w:t xml:space="preserve">. </w:t>
      </w:r>
      <w:r w:rsidRPr="0005699B">
        <w:rPr>
          <w:rFonts w:ascii="Arial" w:hAnsi="Arial"/>
          <w:sz w:val="24"/>
          <w:szCs w:val="24"/>
          <w:vertAlign w:val="superscript"/>
          <w:lang w:val="es-US"/>
        </w:rPr>
        <w:t>(</w:t>
      </w:r>
      <w:r w:rsidR="000C3019" w:rsidRPr="0005699B">
        <w:rPr>
          <w:rFonts w:ascii="Arial" w:hAnsi="Arial"/>
          <w:sz w:val="24"/>
          <w:szCs w:val="24"/>
          <w:vertAlign w:val="superscript"/>
          <w:lang w:val="es-US"/>
        </w:rPr>
        <w:t>11,12</w:t>
      </w:r>
      <w:r w:rsidRPr="0005699B">
        <w:rPr>
          <w:rFonts w:ascii="Arial" w:hAnsi="Arial"/>
          <w:sz w:val="24"/>
          <w:szCs w:val="24"/>
          <w:vertAlign w:val="superscript"/>
          <w:lang w:val="es-US"/>
        </w:rPr>
        <w:t>)</w:t>
      </w:r>
      <w:r w:rsidRPr="00BE2529">
        <w:rPr>
          <w:rFonts w:ascii="Arial" w:hAnsi="Arial"/>
          <w:sz w:val="24"/>
          <w:szCs w:val="24"/>
          <w:lang w:val="es-US"/>
        </w:rPr>
        <w:t xml:space="preserve"> La terapia endocrina adyuvante con Tamoxifeno por 5 a 10 años en pacientes con cáncer de mama con expresión de receptores de estrógeno previene recurrencia local, metástasis a distancia y tumor contralateral. La reducción oscila entre 30-40</w:t>
      </w:r>
      <w:r w:rsidR="00A41441">
        <w:rPr>
          <w:rFonts w:ascii="Arial" w:hAnsi="Arial"/>
          <w:sz w:val="24"/>
          <w:szCs w:val="24"/>
          <w:lang w:val="es-US"/>
        </w:rPr>
        <w:t xml:space="preserve"> </w:t>
      </w:r>
      <w:r w:rsidRPr="00BE2529">
        <w:rPr>
          <w:rFonts w:ascii="Arial" w:hAnsi="Arial"/>
          <w:sz w:val="24"/>
          <w:szCs w:val="24"/>
          <w:lang w:val="es-US"/>
        </w:rPr>
        <w:t>% cuando la expresión es moderada y 40-50</w:t>
      </w:r>
      <w:r w:rsidR="00A41441">
        <w:rPr>
          <w:rFonts w:ascii="Arial" w:hAnsi="Arial"/>
          <w:sz w:val="24"/>
          <w:szCs w:val="24"/>
          <w:lang w:val="es-US"/>
        </w:rPr>
        <w:t xml:space="preserve"> </w:t>
      </w:r>
      <w:r w:rsidRPr="00BE2529">
        <w:rPr>
          <w:rFonts w:ascii="Arial" w:hAnsi="Arial"/>
          <w:sz w:val="24"/>
          <w:szCs w:val="24"/>
          <w:lang w:val="es-US"/>
        </w:rPr>
        <w:t xml:space="preserve">% cuando es alta, con una duración del efecto por más de 15 años. Así lo expresó </w:t>
      </w:r>
      <w:r w:rsidRPr="005E3DA0">
        <w:rPr>
          <w:rFonts w:ascii="Arial" w:hAnsi="Arial"/>
          <w:i/>
          <w:iCs/>
          <w:sz w:val="24"/>
          <w:szCs w:val="24"/>
          <w:lang w:val="es-US"/>
        </w:rPr>
        <w:t>Harold</w:t>
      </w:r>
      <w:r w:rsidRPr="00BE2529">
        <w:rPr>
          <w:rFonts w:ascii="Arial" w:hAnsi="Arial"/>
          <w:sz w:val="24"/>
          <w:szCs w:val="24"/>
          <w:lang w:val="es-US"/>
        </w:rPr>
        <w:t xml:space="preserve"> luego de un estudio realizado en el Instituto de Cáncer “</w:t>
      </w:r>
      <w:r w:rsidRPr="00E34353">
        <w:rPr>
          <w:rFonts w:ascii="Arial" w:hAnsi="Arial"/>
          <w:i/>
          <w:iCs/>
          <w:sz w:val="24"/>
          <w:szCs w:val="24"/>
          <w:lang w:val="es-US"/>
        </w:rPr>
        <w:t>Dana Farber</w:t>
      </w:r>
      <w:r w:rsidRPr="00BE2529">
        <w:rPr>
          <w:rFonts w:ascii="Arial" w:hAnsi="Arial"/>
          <w:sz w:val="24"/>
          <w:szCs w:val="24"/>
          <w:lang w:val="es-US"/>
        </w:rPr>
        <w:t xml:space="preserve">” y Universidad de Harvard en Boston. </w:t>
      </w:r>
      <w:r w:rsidRPr="0005699B">
        <w:rPr>
          <w:rFonts w:ascii="Arial" w:hAnsi="Arial"/>
          <w:sz w:val="24"/>
          <w:szCs w:val="24"/>
          <w:vertAlign w:val="superscript"/>
          <w:lang w:val="es-US"/>
        </w:rPr>
        <w:t>(</w:t>
      </w:r>
      <w:r w:rsidR="000C3019" w:rsidRPr="0005699B">
        <w:rPr>
          <w:rFonts w:ascii="Arial" w:hAnsi="Arial"/>
          <w:sz w:val="24"/>
          <w:szCs w:val="24"/>
          <w:vertAlign w:val="superscript"/>
          <w:lang w:val="es-US"/>
        </w:rPr>
        <w:t>13</w:t>
      </w:r>
      <w:r w:rsidRPr="0005699B">
        <w:rPr>
          <w:rFonts w:ascii="Arial" w:hAnsi="Arial"/>
          <w:sz w:val="24"/>
          <w:szCs w:val="24"/>
          <w:vertAlign w:val="superscript"/>
          <w:lang w:val="es-US"/>
        </w:rPr>
        <w:t>)</w:t>
      </w:r>
      <w:r w:rsidRPr="00BE2529">
        <w:rPr>
          <w:rFonts w:ascii="Arial" w:hAnsi="Arial"/>
          <w:sz w:val="24"/>
          <w:szCs w:val="24"/>
          <w:lang w:val="es-US"/>
        </w:rPr>
        <w:t xml:space="preserve"> Otros estudios coinciden con alta tasa de respuesta a hormonoterapia (Tamoxifeno y los Inhibidores de Aromatasa) y no beneficio de quimioterapia. </w:t>
      </w:r>
      <w:r w:rsidRPr="0005699B">
        <w:rPr>
          <w:rFonts w:ascii="Arial" w:hAnsi="Arial"/>
          <w:sz w:val="24"/>
          <w:szCs w:val="24"/>
          <w:vertAlign w:val="superscript"/>
          <w:lang w:val="es-US"/>
        </w:rPr>
        <w:t>(</w:t>
      </w:r>
      <w:r w:rsidR="001405AD" w:rsidRPr="0005699B">
        <w:rPr>
          <w:rFonts w:ascii="Arial" w:hAnsi="Arial"/>
          <w:sz w:val="24"/>
          <w:szCs w:val="24"/>
          <w:vertAlign w:val="superscript"/>
          <w:lang w:val="es-US"/>
        </w:rPr>
        <w:t>3</w:t>
      </w:r>
      <w:r w:rsidRPr="0005699B">
        <w:rPr>
          <w:rFonts w:ascii="Arial" w:hAnsi="Arial"/>
          <w:sz w:val="24"/>
          <w:szCs w:val="24"/>
          <w:vertAlign w:val="superscript"/>
          <w:lang w:val="es-US"/>
        </w:rPr>
        <w:t>)</w:t>
      </w:r>
    </w:p>
    <w:p w14:paraId="4738CD5F" w14:textId="4CF45DE5" w:rsidR="005309EF" w:rsidRDefault="005309EF" w:rsidP="00E95C16">
      <w:pPr>
        <w:spacing w:before="240" w:line="360" w:lineRule="auto"/>
        <w:jc w:val="both"/>
        <w:rPr>
          <w:rFonts w:ascii="Arial" w:hAnsi="Arial"/>
          <w:sz w:val="24"/>
          <w:szCs w:val="24"/>
          <w:lang w:val="es-US"/>
        </w:rPr>
      </w:pPr>
      <w:r w:rsidRPr="005E3DA0">
        <w:rPr>
          <w:rFonts w:ascii="Arial" w:hAnsi="Arial"/>
          <w:i/>
          <w:iCs/>
          <w:sz w:val="24"/>
          <w:szCs w:val="24"/>
          <w:lang w:val="es-US"/>
        </w:rPr>
        <w:t>Barrios</w:t>
      </w:r>
      <w:r w:rsidRPr="00BE2529">
        <w:rPr>
          <w:rFonts w:ascii="Arial" w:hAnsi="Arial"/>
          <w:sz w:val="24"/>
          <w:szCs w:val="24"/>
          <w:lang w:val="es-US"/>
        </w:rPr>
        <w:t xml:space="preserve"> en un meta análisis </w:t>
      </w:r>
      <w:r w:rsidR="00A41441" w:rsidRPr="0005699B">
        <w:rPr>
          <w:rFonts w:ascii="Arial" w:hAnsi="Arial"/>
          <w:sz w:val="24"/>
          <w:szCs w:val="24"/>
          <w:vertAlign w:val="superscript"/>
          <w:lang w:val="es-US"/>
        </w:rPr>
        <w:t>(14)</w:t>
      </w:r>
      <w:r w:rsidR="00A41441">
        <w:rPr>
          <w:rFonts w:ascii="Arial" w:hAnsi="Arial"/>
          <w:sz w:val="24"/>
          <w:szCs w:val="24"/>
          <w:vertAlign w:val="superscript"/>
          <w:lang w:val="es-US"/>
        </w:rPr>
        <w:t xml:space="preserve"> </w:t>
      </w:r>
      <w:r w:rsidRPr="00BE2529">
        <w:rPr>
          <w:rFonts w:ascii="Arial" w:hAnsi="Arial"/>
          <w:sz w:val="24"/>
          <w:szCs w:val="24"/>
          <w:lang w:val="es-US"/>
        </w:rPr>
        <w:t xml:space="preserve">demostró que, después de 5 años de Tamoxifeno, la reducción del riesgo de recaída es de 0,53 en los primeros 5 años y de 0,68 en los 5 años siguientes. Sin embargo, la reducción del riesgo de los años 10-14 es de 0,97; indicando que no existen beneficios o pérdidas adicionales después de </w:t>
      </w:r>
      <w:r w:rsidRPr="00BE2529">
        <w:rPr>
          <w:rFonts w:ascii="Arial" w:hAnsi="Arial"/>
          <w:sz w:val="24"/>
          <w:szCs w:val="24"/>
          <w:lang w:val="es-US"/>
        </w:rPr>
        <w:lastRenderedPageBreak/>
        <w:t xml:space="preserve">los 10 primeros años. La mortalidad por cáncer de mama se reduce en un tercio en los primeros 15 años después del diagnóstico (HR de 0,71 en los primeros 5 años; 0,66 en los 5 años siguientes y 0,68 en los años 10-14). </w:t>
      </w:r>
      <w:r w:rsidR="00A41441">
        <w:rPr>
          <w:rFonts w:ascii="Arial" w:hAnsi="Arial"/>
          <w:sz w:val="24"/>
          <w:szCs w:val="24"/>
          <w:lang w:val="es-US"/>
        </w:rPr>
        <w:t>L</w:t>
      </w:r>
      <w:r w:rsidRPr="00BE2529">
        <w:rPr>
          <w:rFonts w:ascii="Arial" w:hAnsi="Arial"/>
          <w:sz w:val="24"/>
          <w:szCs w:val="24"/>
          <w:lang w:val="es-US"/>
        </w:rPr>
        <w:t>as pacientes pre</w:t>
      </w:r>
      <w:r w:rsidR="00A41441">
        <w:rPr>
          <w:rFonts w:ascii="Arial" w:hAnsi="Arial"/>
          <w:sz w:val="24"/>
          <w:szCs w:val="24"/>
          <w:lang w:val="es-US"/>
        </w:rPr>
        <w:t xml:space="preserve">- </w:t>
      </w:r>
      <w:r w:rsidRPr="00BE2529">
        <w:rPr>
          <w:rFonts w:ascii="Arial" w:hAnsi="Arial"/>
          <w:sz w:val="24"/>
          <w:szCs w:val="24"/>
          <w:lang w:val="es-US"/>
        </w:rPr>
        <w:t>menopáusicas que no recibieron quimioterapia adyuvante tuvieron una evolución muy favorable, con intervalo libre de recidiva a distancia superior al 97</w:t>
      </w:r>
      <w:r w:rsidR="00A41441">
        <w:rPr>
          <w:rFonts w:ascii="Arial" w:hAnsi="Arial"/>
          <w:sz w:val="24"/>
          <w:szCs w:val="24"/>
          <w:lang w:val="es-US"/>
        </w:rPr>
        <w:t xml:space="preserve"> </w:t>
      </w:r>
      <w:r w:rsidRPr="00BE2529">
        <w:rPr>
          <w:rFonts w:ascii="Arial" w:hAnsi="Arial"/>
          <w:sz w:val="24"/>
          <w:szCs w:val="24"/>
          <w:lang w:val="es-US"/>
        </w:rPr>
        <w:t xml:space="preserve">% a los 8 años. </w:t>
      </w:r>
    </w:p>
    <w:p w14:paraId="692B8BD4" w14:textId="00C3F8C1" w:rsidR="001405AD" w:rsidRPr="00BE2529" w:rsidRDefault="001405AD" w:rsidP="001405AD">
      <w:pPr>
        <w:spacing w:line="360" w:lineRule="auto"/>
        <w:jc w:val="both"/>
        <w:rPr>
          <w:rFonts w:ascii="Arial" w:hAnsi="Arial"/>
          <w:sz w:val="24"/>
          <w:szCs w:val="24"/>
          <w:lang w:val="es-US"/>
        </w:rPr>
      </w:pPr>
      <w:r>
        <w:rPr>
          <w:rFonts w:ascii="Arial" w:hAnsi="Arial"/>
          <w:sz w:val="24"/>
          <w:szCs w:val="24"/>
          <w:lang w:val="es-US"/>
        </w:rPr>
        <w:t>La</w:t>
      </w:r>
      <w:r w:rsidRPr="00BE2529">
        <w:rPr>
          <w:rFonts w:ascii="Arial" w:hAnsi="Arial"/>
          <w:sz w:val="24"/>
          <w:szCs w:val="24"/>
          <w:lang w:val="es-US"/>
        </w:rPr>
        <w:t xml:space="preserve"> cifra elevada </w:t>
      </w:r>
      <w:r>
        <w:rPr>
          <w:rFonts w:ascii="Arial" w:hAnsi="Arial"/>
          <w:sz w:val="24"/>
          <w:szCs w:val="24"/>
          <w:lang w:val="es-US"/>
        </w:rPr>
        <w:t xml:space="preserve">de pacientes </w:t>
      </w:r>
      <w:r w:rsidR="001342F3">
        <w:rPr>
          <w:rFonts w:ascii="Arial" w:hAnsi="Arial"/>
          <w:sz w:val="24"/>
          <w:szCs w:val="24"/>
          <w:lang w:val="es-US"/>
        </w:rPr>
        <w:t>en la</w:t>
      </w:r>
      <w:r>
        <w:rPr>
          <w:rFonts w:ascii="Arial" w:hAnsi="Arial"/>
          <w:sz w:val="24"/>
          <w:szCs w:val="24"/>
          <w:lang w:val="es-US"/>
        </w:rPr>
        <w:t xml:space="preserve"> provincia </w:t>
      </w:r>
      <w:r w:rsidR="001342F3">
        <w:rPr>
          <w:rFonts w:ascii="Arial" w:hAnsi="Arial"/>
          <w:sz w:val="24"/>
          <w:szCs w:val="24"/>
          <w:lang w:val="es-US"/>
        </w:rPr>
        <w:t xml:space="preserve">de Matanzas </w:t>
      </w:r>
      <w:r>
        <w:rPr>
          <w:rFonts w:ascii="Arial" w:hAnsi="Arial"/>
          <w:sz w:val="24"/>
          <w:szCs w:val="24"/>
          <w:lang w:val="es-US"/>
        </w:rPr>
        <w:t xml:space="preserve">que no recibió tratamiento </w:t>
      </w:r>
      <w:r w:rsidR="00E571E8">
        <w:rPr>
          <w:rFonts w:ascii="Arial" w:hAnsi="Arial"/>
          <w:sz w:val="24"/>
          <w:szCs w:val="24"/>
          <w:lang w:val="es-US"/>
        </w:rPr>
        <w:t>de precisión</w:t>
      </w:r>
      <w:r>
        <w:rPr>
          <w:rFonts w:ascii="Arial" w:hAnsi="Arial"/>
          <w:sz w:val="24"/>
          <w:szCs w:val="24"/>
          <w:lang w:val="es-US"/>
        </w:rPr>
        <w:t xml:space="preserve"> </w:t>
      </w:r>
      <w:r w:rsidRPr="00BE2529">
        <w:rPr>
          <w:rFonts w:ascii="Arial" w:hAnsi="Arial"/>
          <w:sz w:val="24"/>
          <w:szCs w:val="24"/>
          <w:lang w:val="es-US"/>
        </w:rPr>
        <w:t xml:space="preserve">se explica por </w:t>
      </w:r>
      <w:r>
        <w:rPr>
          <w:rFonts w:ascii="Arial" w:hAnsi="Arial"/>
          <w:sz w:val="24"/>
          <w:szCs w:val="24"/>
          <w:lang w:val="es-US"/>
        </w:rPr>
        <w:t>l</w:t>
      </w:r>
      <w:r w:rsidRPr="00BE2529">
        <w:rPr>
          <w:rFonts w:ascii="Arial" w:hAnsi="Arial"/>
          <w:sz w:val="24"/>
          <w:szCs w:val="24"/>
          <w:lang w:val="es-US"/>
        </w:rPr>
        <w:t>a no disponibilidad del resultado de inmunohistoquímica al momento de comenzar el tratamiento y por la presencia de factores de riesgo clínicos</w:t>
      </w:r>
      <w:r w:rsidR="001342F3">
        <w:rPr>
          <w:rFonts w:ascii="Arial" w:hAnsi="Arial"/>
          <w:sz w:val="24"/>
          <w:szCs w:val="24"/>
          <w:lang w:val="es-US"/>
        </w:rPr>
        <w:t xml:space="preserve">: </w:t>
      </w:r>
      <w:r w:rsidRPr="00BE2529">
        <w:rPr>
          <w:rFonts w:ascii="Arial" w:hAnsi="Arial"/>
          <w:sz w:val="24"/>
          <w:szCs w:val="24"/>
          <w:lang w:val="es-US"/>
        </w:rPr>
        <w:t>edad</w:t>
      </w:r>
      <w:r w:rsidR="00B34064">
        <w:rPr>
          <w:rFonts w:ascii="Arial" w:hAnsi="Arial"/>
          <w:sz w:val="24"/>
          <w:szCs w:val="24"/>
          <w:lang w:val="es-US"/>
        </w:rPr>
        <w:t xml:space="preserve">/ </w:t>
      </w:r>
      <w:r w:rsidR="001342F3">
        <w:rPr>
          <w:rFonts w:ascii="Arial" w:hAnsi="Arial"/>
          <w:sz w:val="24"/>
          <w:szCs w:val="24"/>
          <w:lang w:val="es-US"/>
        </w:rPr>
        <w:t xml:space="preserve">etapa clínica y </w:t>
      </w:r>
      <w:r w:rsidRPr="00BE2529">
        <w:rPr>
          <w:rFonts w:ascii="Arial" w:hAnsi="Arial"/>
          <w:sz w:val="24"/>
          <w:szCs w:val="24"/>
          <w:lang w:val="es-US"/>
        </w:rPr>
        <w:t>patológicos</w:t>
      </w:r>
      <w:r w:rsidR="001342F3">
        <w:rPr>
          <w:rFonts w:ascii="Arial" w:hAnsi="Arial"/>
          <w:sz w:val="24"/>
          <w:szCs w:val="24"/>
          <w:lang w:val="es-US"/>
        </w:rPr>
        <w:t xml:space="preserve">: </w:t>
      </w:r>
      <w:r w:rsidRPr="00BE2529">
        <w:rPr>
          <w:rFonts w:ascii="Arial" w:hAnsi="Arial"/>
          <w:sz w:val="24"/>
          <w:szCs w:val="24"/>
          <w:lang w:val="es-US"/>
        </w:rPr>
        <w:t xml:space="preserve"> grado nuclear 2-3 y estatus </w:t>
      </w:r>
      <w:r w:rsidR="001342F3" w:rsidRPr="00BE2529">
        <w:rPr>
          <w:rFonts w:ascii="Arial" w:hAnsi="Arial"/>
          <w:sz w:val="24"/>
          <w:szCs w:val="24"/>
          <w:lang w:val="es-US"/>
        </w:rPr>
        <w:t>ganglionar</w:t>
      </w:r>
      <w:r w:rsidR="001342F3">
        <w:rPr>
          <w:rFonts w:ascii="Arial" w:hAnsi="Arial"/>
          <w:sz w:val="24"/>
          <w:szCs w:val="24"/>
          <w:lang w:val="es-US"/>
        </w:rPr>
        <w:t xml:space="preserve">; </w:t>
      </w:r>
      <w:r w:rsidR="001342F3" w:rsidRPr="00BE2529">
        <w:rPr>
          <w:rFonts w:ascii="Arial" w:hAnsi="Arial"/>
          <w:sz w:val="24"/>
          <w:szCs w:val="24"/>
          <w:lang w:val="es-US"/>
        </w:rPr>
        <w:t>que</w:t>
      </w:r>
      <w:r w:rsidRPr="00BE2529">
        <w:rPr>
          <w:rFonts w:ascii="Arial" w:hAnsi="Arial"/>
          <w:sz w:val="24"/>
          <w:szCs w:val="24"/>
          <w:lang w:val="es-US"/>
        </w:rPr>
        <w:t xml:space="preserve"> condicionaron el empleo de quimioterapia en el manejo de estas pacientes. En otros países debido a la eficacia de técnica de inmunohistoquímica oportuna el tratamiento </w:t>
      </w:r>
      <w:r w:rsidR="00E571E8">
        <w:rPr>
          <w:rFonts w:ascii="Arial" w:hAnsi="Arial"/>
          <w:sz w:val="24"/>
          <w:szCs w:val="24"/>
          <w:lang w:val="es-US"/>
        </w:rPr>
        <w:t>de precisión</w:t>
      </w:r>
      <w:r w:rsidRPr="00BE2529">
        <w:rPr>
          <w:rFonts w:ascii="Arial" w:hAnsi="Arial"/>
          <w:sz w:val="24"/>
          <w:szCs w:val="24"/>
          <w:lang w:val="es-US"/>
        </w:rPr>
        <w:t xml:space="preserve"> se logra en la mayoría de los casos. En otras instituciones nacionales los resultados de investigaciones similares no han sido publicados.</w:t>
      </w:r>
    </w:p>
    <w:p w14:paraId="46A02772" w14:textId="55C3056A" w:rsidR="005309EF" w:rsidRPr="0005699B" w:rsidRDefault="005309EF" w:rsidP="00BE2529">
      <w:pPr>
        <w:spacing w:line="360" w:lineRule="auto"/>
        <w:jc w:val="both"/>
        <w:rPr>
          <w:rFonts w:ascii="Arial" w:hAnsi="Arial"/>
          <w:sz w:val="24"/>
          <w:szCs w:val="24"/>
          <w:vertAlign w:val="superscript"/>
          <w:lang w:val="es-US"/>
        </w:rPr>
      </w:pPr>
      <w:r w:rsidRPr="00BE2529">
        <w:rPr>
          <w:rFonts w:ascii="Arial" w:hAnsi="Arial"/>
          <w:sz w:val="24"/>
          <w:szCs w:val="24"/>
          <w:lang w:val="es-US"/>
        </w:rPr>
        <w:t xml:space="preserve">Se conoce desde hace muchos años que la edad es un factor de riesgo importante para desarrollar un cáncer de mama, conforme avanza la edad aumenta el riesgo. Una mayor influencia de tipo hormonal </w:t>
      </w:r>
      <w:r w:rsidR="001F241F">
        <w:rPr>
          <w:rFonts w:ascii="Arial" w:hAnsi="Arial"/>
          <w:sz w:val="24"/>
          <w:szCs w:val="24"/>
          <w:lang w:val="es-US"/>
        </w:rPr>
        <w:t>y</w:t>
      </w:r>
      <w:r w:rsidRPr="00BE2529">
        <w:rPr>
          <w:rFonts w:ascii="Arial" w:hAnsi="Arial"/>
          <w:sz w:val="24"/>
          <w:szCs w:val="24"/>
          <w:lang w:val="es-US"/>
        </w:rPr>
        <w:t xml:space="preserve"> de las fracciones estrogénicas de estrona y estradiol son algunos de los factores citados para explicar el pronóstico menos favorable en las mujeres jóvenes. En período 2006-2011, la Vigilancia Epidemiológica de Cáncer en Perú notificó que el cáncer de mama se presenta 44,5</w:t>
      </w:r>
      <w:r w:rsidR="00A41441">
        <w:rPr>
          <w:rFonts w:ascii="Arial" w:hAnsi="Arial"/>
          <w:sz w:val="24"/>
          <w:szCs w:val="24"/>
          <w:lang w:val="es-US"/>
        </w:rPr>
        <w:t xml:space="preserve"> </w:t>
      </w:r>
      <w:r w:rsidRPr="00BE2529">
        <w:rPr>
          <w:rFonts w:ascii="Arial" w:hAnsi="Arial"/>
          <w:sz w:val="24"/>
          <w:szCs w:val="24"/>
          <w:lang w:val="es-US"/>
        </w:rPr>
        <w:t xml:space="preserve">% en mujeres entre 50 a 69 años. </w:t>
      </w:r>
      <w:r w:rsidRPr="0005699B">
        <w:rPr>
          <w:rFonts w:ascii="Arial" w:hAnsi="Arial"/>
          <w:sz w:val="24"/>
          <w:szCs w:val="24"/>
          <w:vertAlign w:val="superscript"/>
          <w:lang w:val="es-US"/>
        </w:rPr>
        <w:t>(</w:t>
      </w:r>
      <w:r w:rsidR="001405AD" w:rsidRPr="0005699B">
        <w:rPr>
          <w:rFonts w:ascii="Arial" w:hAnsi="Arial"/>
          <w:sz w:val="24"/>
          <w:szCs w:val="24"/>
          <w:vertAlign w:val="superscript"/>
          <w:lang w:val="es-US"/>
        </w:rPr>
        <w:t>15</w:t>
      </w:r>
      <w:r w:rsidRPr="0005699B">
        <w:rPr>
          <w:rFonts w:ascii="Arial" w:hAnsi="Arial"/>
          <w:sz w:val="24"/>
          <w:szCs w:val="24"/>
          <w:vertAlign w:val="superscript"/>
          <w:lang w:val="es-US"/>
        </w:rPr>
        <w:t>)</w:t>
      </w:r>
      <w:r w:rsidRPr="00BE2529">
        <w:rPr>
          <w:rFonts w:ascii="Arial" w:hAnsi="Arial"/>
          <w:sz w:val="24"/>
          <w:szCs w:val="24"/>
          <w:lang w:val="es-US"/>
        </w:rPr>
        <w:t xml:space="preserve"> </w:t>
      </w:r>
      <w:r w:rsidRPr="005E3DA0">
        <w:rPr>
          <w:rFonts w:ascii="Arial" w:hAnsi="Arial"/>
          <w:i/>
          <w:iCs/>
          <w:sz w:val="24"/>
          <w:szCs w:val="24"/>
          <w:lang w:val="es-US"/>
        </w:rPr>
        <w:t>Ramírez y cols.,</w:t>
      </w:r>
      <w:r w:rsidRPr="00BE2529">
        <w:rPr>
          <w:rFonts w:ascii="Arial" w:hAnsi="Arial"/>
          <w:sz w:val="24"/>
          <w:szCs w:val="24"/>
          <w:lang w:val="es-US"/>
        </w:rPr>
        <w:t xml:space="preserve"> </w:t>
      </w:r>
      <w:r w:rsidR="005E3DA0" w:rsidRPr="0005699B">
        <w:rPr>
          <w:rFonts w:ascii="Arial" w:hAnsi="Arial"/>
          <w:sz w:val="24"/>
          <w:szCs w:val="24"/>
          <w:vertAlign w:val="superscript"/>
          <w:lang w:val="es-US"/>
        </w:rPr>
        <w:t>(9)</w:t>
      </w:r>
      <w:r w:rsidR="005E3DA0" w:rsidRPr="00BE2529">
        <w:rPr>
          <w:rFonts w:ascii="Arial" w:hAnsi="Arial"/>
          <w:sz w:val="24"/>
          <w:szCs w:val="24"/>
          <w:lang w:val="es-US"/>
        </w:rPr>
        <w:t xml:space="preserve"> </w:t>
      </w:r>
      <w:r w:rsidRPr="00BE2529">
        <w:rPr>
          <w:rFonts w:ascii="Arial" w:hAnsi="Arial"/>
          <w:sz w:val="24"/>
          <w:szCs w:val="24"/>
          <w:lang w:val="es-US"/>
        </w:rPr>
        <w:t xml:space="preserve">en un estudio realizado en Pinar del Río durante 2013 -2015 encontró predominio de la quinta década de la vida con 28,2 %. Coincidiendo con los resultados de este estudio respecto a edad, el promedio en la población estudiada por </w:t>
      </w:r>
      <w:r w:rsidRPr="005E3DA0">
        <w:rPr>
          <w:rFonts w:ascii="Arial" w:hAnsi="Arial"/>
          <w:i/>
          <w:iCs/>
          <w:sz w:val="24"/>
          <w:szCs w:val="24"/>
          <w:lang w:val="es-US"/>
        </w:rPr>
        <w:t>González-Müller</w:t>
      </w:r>
      <w:r w:rsidRPr="00BE2529">
        <w:rPr>
          <w:rFonts w:ascii="Arial" w:hAnsi="Arial"/>
          <w:sz w:val="24"/>
          <w:szCs w:val="24"/>
          <w:lang w:val="es-US"/>
        </w:rPr>
        <w:t xml:space="preserve"> fue 56,8 años. </w:t>
      </w:r>
      <w:r w:rsidRPr="0005699B">
        <w:rPr>
          <w:rFonts w:ascii="Arial" w:hAnsi="Arial"/>
          <w:sz w:val="24"/>
          <w:szCs w:val="24"/>
          <w:vertAlign w:val="superscript"/>
          <w:lang w:val="es-US"/>
        </w:rPr>
        <w:t>(</w:t>
      </w:r>
      <w:r w:rsidR="001405AD" w:rsidRPr="0005699B">
        <w:rPr>
          <w:rFonts w:ascii="Arial" w:hAnsi="Arial"/>
          <w:sz w:val="24"/>
          <w:szCs w:val="24"/>
          <w:vertAlign w:val="superscript"/>
          <w:lang w:val="es-US"/>
        </w:rPr>
        <w:t>16</w:t>
      </w:r>
      <w:r w:rsidRPr="0005699B">
        <w:rPr>
          <w:rFonts w:ascii="Arial" w:hAnsi="Arial"/>
          <w:sz w:val="24"/>
          <w:szCs w:val="24"/>
          <w:vertAlign w:val="superscript"/>
          <w:lang w:val="es-US"/>
        </w:rPr>
        <w:t>)</w:t>
      </w:r>
      <w:r w:rsidRPr="00BE2529">
        <w:rPr>
          <w:rFonts w:ascii="Arial" w:hAnsi="Arial"/>
          <w:sz w:val="24"/>
          <w:szCs w:val="24"/>
          <w:lang w:val="es-US"/>
        </w:rPr>
        <w:t xml:space="preserve"> </w:t>
      </w:r>
      <w:r w:rsidRPr="005E3DA0">
        <w:rPr>
          <w:rFonts w:ascii="Arial" w:hAnsi="Arial"/>
          <w:i/>
          <w:iCs/>
          <w:sz w:val="24"/>
          <w:szCs w:val="24"/>
          <w:lang w:val="es-US"/>
        </w:rPr>
        <w:t>Esparza</w:t>
      </w:r>
      <w:r w:rsidRPr="00BE2529">
        <w:rPr>
          <w:rFonts w:ascii="Arial" w:hAnsi="Arial"/>
          <w:sz w:val="24"/>
          <w:szCs w:val="24"/>
          <w:lang w:val="es-US"/>
        </w:rPr>
        <w:t xml:space="preserve"> en Ecuador </w:t>
      </w:r>
      <w:r w:rsidR="005E3DA0" w:rsidRPr="0005699B">
        <w:rPr>
          <w:rFonts w:ascii="Arial" w:hAnsi="Arial"/>
          <w:sz w:val="24"/>
          <w:szCs w:val="24"/>
          <w:vertAlign w:val="superscript"/>
          <w:lang w:val="es-US"/>
        </w:rPr>
        <w:t>(17)</w:t>
      </w:r>
      <w:r w:rsidR="005E3DA0">
        <w:rPr>
          <w:rFonts w:ascii="Arial" w:hAnsi="Arial"/>
          <w:sz w:val="24"/>
          <w:szCs w:val="24"/>
          <w:vertAlign w:val="superscript"/>
          <w:lang w:val="es-US"/>
        </w:rPr>
        <w:t xml:space="preserve"> </w:t>
      </w:r>
      <w:r w:rsidRPr="00BE2529">
        <w:rPr>
          <w:rFonts w:ascii="Arial" w:hAnsi="Arial"/>
          <w:sz w:val="24"/>
          <w:szCs w:val="24"/>
          <w:lang w:val="es-US"/>
        </w:rPr>
        <w:t>sostiene que el promedio de edad al diagnóstico es de 61 años para las mujeres blancas, 56 para las de origen hispano y 46 para las mujeres afroamericanas. Por su parte la NAACCR (</w:t>
      </w:r>
      <w:r w:rsidRPr="005E3DA0">
        <w:rPr>
          <w:rFonts w:ascii="Arial" w:hAnsi="Arial"/>
          <w:i/>
          <w:iCs/>
          <w:sz w:val="24"/>
          <w:szCs w:val="24"/>
          <w:lang w:val="es-US"/>
        </w:rPr>
        <w:t xml:space="preserve">North American </w:t>
      </w:r>
      <w:proofErr w:type="spellStart"/>
      <w:r w:rsidRPr="005E3DA0">
        <w:rPr>
          <w:rFonts w:ascii="Arial" w:hAnsi="Arial"/>
          <w:i/>
          <w:iCs/>
          <w:sz w:val="24"/>
          <w:szCs w:val="24"/>
          <w:lang w:val="es-US"/>
        </w:rPr>
        <w:t>Associationof</w:t>
      </w:r>
      <w:proofErr w:type="spellEnd"/>
      <w:r w:rsidRPr="005E3DA0">
        <w:rPr>
          <w:rFonts w:ascii="Arial" w:hAnsi="Arial"/>
          <w:i/>
          <w:iCs/>
          <w:sz w:val="24"/>
          <w:szCs w:val="24"/>
          <w:lang w:val="es-US"/>
        </w:rPr>
        <w:t xml:space="preserve"> Central Cancer Registres</w:t>
      </w:r>
      <w:r w:rsidRPr="00BE2529">
        <w:rPr>
          <w:rFonts w:ascii="Arial" w:hAnsi="Arial"/>
          <w:sz w:val="24"/>
          <w:szCs w:val="24"/>
          <w:lang w:val="es-US"/>
        </w:rPr>
        <w:t>) en estudio realizado entre 2012 y 2016</w:t>
      </w:r>
      <w:r w:rsidR="005E3DA0" w:rsidRPr="00BE2529">
        <w:rPr>
          <w:rFonts w:ascii="Arial" w:hAnsi="Arial"/>
          <w:sz w:val="24"/>
          <w:szCs w:val="24"/>
          <w:lang w:val="es-US"/>
        </w:rPr>
        <w:t xml:space="preserve"> </w:t>
      </w:r>
      <w:r w:rsidR="005E3DA0" w:rsidRPr="0005699B">
        <w:rPr>
          <w:rFonts w:ascii="Arial" w:hAnsi="Arial"/>
          <w:sz w:val="24"/>
          <w:szCs w:val="24"/>
          <w:vertAlign w:val="superscript"/>
          <w:lang w:val="es-US"/>
        </w:rPr>
        <w:t xml:space="preserve">(18) </w:t>
      </w:r>
      <w:r w:rsidRPr="00BE2529">
        <w:rPr>
          <w:rFonts w:ascii="Arial" w:hAnsi="Arial"/>
          <w:sz w:val="24"/>
          <w:szCs w:val="24"/>
          <w:lang w:val="es-US"/>
        </w:rPr>
        <w:t>coincidió en que la mediana de edad al diagnóstico fue 62 años</w:t>
      </w:r>
      <w:r w:rsidR="00F83F80">
        <w:rPr>
          <w:rFonts w:ascii="Arial" w:hAnsi="Arial"/>
          <w:sz w:val="24"/>
          <w:szCs w:val="24"/>
          <w:lang w:val="es-US"/>
        </w:rPr>
        <w:t>.</w:t>
      </w:r>
    </w:p>
    <w:p w14:paraId="09161BAE" w14:textId="0C5BA86B" w:rsidR="005309EF" w:rsidRDefault="005309EF" w:rsidP="00BE2529">
      <w:pPr>
        <w:spacing w:line="360" w:lineRule="auto"/>
        <w:jc w:val="both"/>
        <w:rPr>
          <w:rFonts w:ascii="Arial" w:hAnsi="Arial"/>
          <w:sz w:val="24"/>
          <w:szCs w:val="24"/>
          <w:lang w:val="es-US"/>
        </w:rPr>
      </w:pPr>
      <w:r w:rsidRPr="00BE2529">
        <w:rPr>
          <w:rFonts w:ascii="Arial" w:hAnsi="Arial"/>
          <w:sz w:val="24"/>
          <w:szCs w:val="24"/>
          <w:lang w:val="es-US"/>
        </w:rPr>
        <w:lastRenderedPageBreak/>
        <w:t>El cáncer de mama es muy heterogéneo desde el punto de vista clínico y biológico, la expresión génica revela la real complejidad molecular y es la inmunohistoquímica la técnica que garantiza</w:t>
      </w:r>
      <w:r w:rsidR="001F241F">
        <w:rPr>
          <w:rFonts w:ascii="Arial" w:hAnsi="Arial"/>
          <w:sz w:val="24"/>
          <w:szCs w:val="24"/>
          <w:lang w:val="es-US"/>
        </w:rPr>
        <w:t xml:space="preserve"> </w:t>
      </w:r>
      <w:r w:rsidRPr="00BE2529">
        <w:rPr>
          <w:rFonts w:ascii="Arial" w:hAnsi="Arial"/>
          <w:sz w:val="24"/>
          <w:szCs w:val="24"/>
          <w:lang w:val="es-US"/>
        </w:rPr>
        <w:t xml:space="preserve">el empleo de tratamiento </w:t>
      </w:r>
      <w:r w:rsidR="00E571E8">
        <w:rPr>
          <w:rFonts w:ascii="Arial" w:hAnsi="Arial"/>
          <w:sz w:val="24"/>
          <w:szCs w:val="24"/>
          <w:lang w:val="es-US"/>
        </w:rPr>
        <w:t>de precisión</w:t>
      </w:r>
      <w:r w:rsidRPr="00BE2529">
        <w:rPr>
          <w:rFonts w:ascii="Arial" w:hAnsi="Arial"/>
          <w:sz w:val="24"/>
          <w:szCs w:val="24"/>
          <w:lang w:val="es-US"/>
        </w:rPr>
        <w:t xml:space="preserve">. </w:t>
      </w:r>
      <w:r w:rsidRPr="0005699B">
        <w:rPr>
          <w:rFonts w:ascii="Arial" w:hAnsi="Arial"/>
          <w:sz w:val="24"/>
          <w:szCs w:val="24"/>
          <w:vertAlign w:val="superscript"/>
          <w:lang w:val="es-US"/>
        </w:rPr>
        <w:t>(</w:t>
      </w:r>
      <w:r w:rsidR="001405AD" w:rsidRPr="0005699B">
        <w:rPr>
          <w:rFonts w:ascii="Arial" w:hAnsi="Arial"/>
          <w:sz w:val="24"/>
          <w:szCs w:val="24"/>
          <w:vertAlign w:val="superscript"/>
          <w:lang w:val="es-US"/>
        </w:rPr>
        <w:t>19</w:t>
      </w:r>
      <w:r w:rsidRPr="0005699B">
        <w:rPr>
          <w:rFonts w:ascii="Arial" w:hAnsi="Arial"/>
          <w:sz w:val="24"/>
          <w:szCs w:val="24"/>
          <w:vertAlign w:val="superscript"/>
          <w:lang w:val="es-US"/>
        </w:rPr>
        <w:t>)</w:t>
      </w:r>
      <w:r w:rsidRPr="00BE2529">
        <w:rPr>
          <w:rFonts w:ascii="Arial" w:hAnsi="Arial"/>
          <w:sz w:val="24"/>
          <w:szCs w:val="24"/>
          <w:lang w:val="es-US"/>
        </w:rPr>
        <w:t xml:space="preserve"> </w:t>
      </w:r>
      <w:r w:rsidR="00F83F80">
        <w:rPr>
          <w:rFonts w:ascii="Arial" w:hAnsi="Arial"/>
          <w:sz w:val="24"/>
          <w:szCs w:val="24"/>
          <w:lang w:val="es-US"/>
        </w:rPr>
        <w:t>Se</w:t>
      </w:r>
      <w:r w:rsidRPr="00BE2529">
        <w:rPr>
          <w:rFonts w:ascii="Arial" w:hAnsi="Arial"/>
          <w:sz w:val="24"/>
          <w:szCs w:val="24"/>
          <w:lang w:val="es-US"/>
        </w:rPr>
        <w:t xml:space="preserve"> debe destacar que, en pacientes con inmunohistoquímica en tiempo indeterminado, con sospecha de inmunofenotipo Luminal, se utiliza tratamiento adyuvante con hormonoterapia hasta la confirmación del inmunofenotipo, que en ocasiones es Her2 positivo o Triple Negativo, sin beneficios </w:t>
      </w:r>
      <w:r w:rsidR="00A41441">
        <w:rPr>
          <w:rFonts w:ascii="Arial" w:hAnsi="Arial"/>
          <w:sz w:val="24"/>
          <w:szCs w:val="24"/>
          <w:lang w:val="es-US"/>
        </w:rPr>
        <w:t>biológicos, con importante toxicidad económica y evolución desfavorable de la paciente</w:t>
      </w:r>
      <w:r w:rsidRPr="00BE2529">
        <w:rPr>
          <w:rFonts w:ascii="Arial" w:hAnsi="Arial"/>
          <w:sz w:val="24"/>
          <w:szCs w:val="24"/>
          <w:lang w:val="es-US"/>
        </w:rPr>
        <w:t>.</w:t>
      </w:r>
    </w:p>
    <w:p w14:paraId="3358CD90" w14:textId="47542247" w:rsidR="00A41441" w:rsidRPr="00A41441" w:rsidRDefault="00A41441" w:rsidP="00BE2529">
      <w:pPr>
        <w:spacing w:line="360" w:lineRule="auto"/>
        <w:jc w:val="both"/>
        <w:rPr>
          <w:rFonts w:ascii="Arial" w:hAnsi="Arial"/>
          <w:sz w:val="24"/>
          <w:szCs w:val="24"/>
          <w:lang w:val="es-ES"/>
        </w:rPr>
      </w:pPr>
      <w:r w:rsidRPr="00BE2529">
        <w:rPr>
          <w:rFonts w:ascii="Arial" w:hAnsi="Arial"/>
          <w:sz w:val="24"/>
          <w:szCs w:val="24"/>
          <w:lang w:val="es-ES"/>
        </w:rPr>
        <w:t xml:space="preserve">En el período estudiado, las pacientes Luminal A que recibieron tratamiento tuvieron un gasto total de 5 499 torundas, 4 888ml de alcohol en el proceso de desinfección local como parte de las medidas de sepsia </w:t>
      </w:r>
      <w:r>
        <w:rPr>
          <w:rFonts w:ascii="Arial" w:hAnsi="Arial"/>
          <w:sz w:val="24"/>
          <w:szCs w:val="24"/>
          <w:lang w:val="es-ES"/>
        </w:rPr>
        <w:t>y antisepsia que equivalen a 4,9</w:t>
      </w:r>
      <w:r w:rsidRPr="00BE2529">
        <w:rPr>
          <w:rFonts w:ascii="Arial" w:hAnsi="Arial"/>
          <w:sz w:val="24"/>
          <w:szCs w:val="24"/>
          <w:lang w:val="es-ES"/>
        </w:rPr>
        <w:t xml:space="preserve"> Litros y 611 trócar para la administración del fármaco citostático. Con respecto al empleo de esparadrapo el uso del mismo por 611 ciclos equivale a un consumo de 61 rollos. Se emplearon además 1 833 equipos de venoclisis, 2 444 bolsas de 500ml de solución salina fisiológica al 0,9</w:t>
      </w:r>
      <w:r>
        <w:rPr>
          <w:rFonts w:ascii="Arial" w:hAnsi="Arial"/>
          <w:sz w:val="24"/>
          <w:szCs w:val="24"/>
          <w:lang w:val="es-ES"/>
        </w:rPr>
        <w:t xml:space="preserve"> </w:t>
      </w:r>
      <w:r w:rsidRPr="00BE2529">
        <w:rPr>
          <w:rFonts w:ascii="Arial" w:hAnsi="Arial"/>
          <w:sz w:val="24"/>
          <w:szCs w:val="24"/>
          <w:lang w:val="es-ES"/>
        </w:rPr>
        <w:t xml:space="preserve">% equivalentes a 1 222 000 ml, un total de 1 222 jeringuillas de 10ml y 2 444 jeringuillas de 20ml. De forma indirecta el gasto material se incrementa con el uso de reactivo para los exámenes complementarios y el empleo de papel cracf para la envoltura y esterilización de torundas. </w:t>
      </w:r>
    </w:p>
    <w:p w14:paraId="544A02D5" w14:textId="38CA9A3E" w:rsidR="00082C76" w:rsidRDefault="00A41441" w:rsidP="00082C76">
      <w:pPr>
        <w:spacing w:line="360" w:lineRule="auto"/>
        <w:jc w:val="both"/>
        <w:rPr>
          <w:rFonts w:ascii="Arial" w:hAnsi="Arial"/>
          <w:sz w:val="24"/>
          <w:szCs w:val="24"/>
          <w:lang w:val="es-ES"/>
        </w:rPr>
      </w:pPr>
      <w:r>
        <w:rPr>
          <w:rFonts w:ascii="Arial" w:hAnsi="Arial"/>
          <w:sz w:val="24"/>
          <w:szCs w:val="24"/>
          <w:lang w:val="es-ES"/>
        </w:rPr>
        <w:t>En los casos</w:t>
      </w:r>
      <w:r w:rsidR="00082C76" w:rsidRPr="00BE2529">
        <w:rPr>
          <w:rFonts w:ascii="Arial" w:hAnsi="Arial"/>
          <w:sz w:val="24"/>
          <w:szCs w:val="24"/>
          <w:lang w:val="es-ES"/>
        </w:rPr>
        <w:t xml:space="preserve"> Luminal A, que no recibieron tratamiento </w:t>
      </w:r>
      <w:r w:rsidR="00E571E8">
        <w:rPr>
          <w:rFonts w:ascii="Arial" w:hAnsi="Arial"/>
          <w:sz w:val="24"/>
          <w:szCs w:val="24"/>
          <w:lang w:val="es-ES"/>
        </w:rPr>
        <w:t xml:space="preserve">de </w:t>
      </w:r>
      <w:r w:rsidR="00B34064">
        <w:rPr>
          <w:rFonts w:ascii="Arial" w:hAnsi="Arial"/>
          <w:sz w:val="24"/>
          <w:szCs w:val="24"/>
          <w:lang w:val="es-ES"/>
        </w:rPr>
        <w:t>precisión</w:t>
      </w:r>
      <w:r>
        <w:rPr>
          <w:rFonts w:ascii="Arial" w:hAnsi="Arial"/>
          <w:sz w:val="24"/>
          <w:szCs w:val="24"/>
          <w:lang w:val="es-ES"/>
        </w:rPr>
        <w:t>,</w:t>
      </w:r>
      <w:r w:rsidR="00082C76" w:rsidRPr="00BE2529">
        <w:rPr>
          <w:rFonts w:ascii="Arial" w:hAnsi="Arial"/>
          <w:sz w:val="24"/>
          <w:szCs w:val="24"/>
          <w:lang w:val="es-ES"/>
        </w:rPr>
        <w:t xml:space="preserve"> el esquema de quimioterapia más utilizado fue el AC</w:t>
      </w:r>
      <w:r w:rsidR="00B34064">
        <w:rPr>
          <w:rFonts w:ascii="Arial" w:hAnsi="Arial"/>
          <w:sz w:val="24"/>
          <w:szCs w:val="24"/>
          <w:lang w:val="es-ES"/>
        </w:rPr>
        <w:t>+T</w:t>
      </w:r>
      <w:r w:rsidR="00082C76" w:rsidRPr="00BE2529">
        <w:rPr>
          <w:rFonts w:ascii="Arial" w:hAnsi="Arial"/>
          <w:sz w:val="24"/>
          <w:szCs w:val="24"/>
          <w:lang w:val="es-ES"/>
        </w:rPr>
        <w:t xml:space="preserve"> (</w:t>
      </w:r>
      <w:r w:rsidR="004B20BD">
        <w:rPr>
          <w:rFonts w:ascii="Arial" w:hAnsi="Arial"/>
          <w:sz w:val="24"/>
          <w:szCs w:val="24"/>
          <w:lang w:val="es-ES"/>
        </w:rPr>
        <w:t>Doxorrubicina</w:t>
      </w:r>
      <w:r w:rsidR="00082C76" w:rsidRPr="00BE2529">
        <w:rPr>
          <w:rFonts w:ascii="Arial" w:hAnsi="Arial"/>
          <w:sz w:val="24"/>
          <w:szCs w:val="24"/>
          <w:lang w:val="es-ES"/>
        </w:rPr>
        <w:t>-Ciclofosfamida</w:t>
      </w:r>
      <w:r w:rsidR="00B34064">
        <w:rPr>
          <w:rFonts w:ascii="Arial" w:hAnsi="Arial"/>
          <w:sz w:val="24"/>
          <w:szCs w:val="24"/>
          <w:lang w:val="es-ES"/>
        </w:rPr>
        <w:t>+ Paclitaxel</w:t>
      </w:r>
      <w:r w:rsidR="00082C76" w:rsidRPr="00BE2529">
        <w:rPr>
          <w:rFonts w:ascii="Arial" w:hAnsi="Arial"/>
          <w:sz w:val="24"/>
          <w:szCs w:val="24"/>
          <w:lang w:val="es-ES"/>
        </w:rPr>
        <w:t>). Cada médico en consulta atiende un total de 25 pacientes por jornada laboral de 8 horas y la administración de 611 ciclos de quimioterapia a estas pacientes destina un total de 25 jornadas médicas laborables, tiempo que podría ser empleado en otros casos con mejor beneficio de quimioterapia.</w:t>
      </w:r>
    </w:p>
    <w:p w14:paraId="365B7AB9" w14:textId="5B076649" w:rsidR="002A388C" w:rsidRPr="00BE2529" w:rsidRDefault="002A388C" w:rsidP="002A388C">
      <w:pPr>
        <w:spacing w:line="360" w:lineRule="auto"/>
        <w:jc w:val="both"/>
        <w:rPr>
          <w:rFonts w:ascii="Arial" w:hAnsi="Arial"/>
          <w:sz w:val="24"/>
          <w:szCs w:val="24"/>
          <w:lang w:val="es-ES"/>
        </w:rPr>
      </w:pPr>
      <w:r>
        <w:rPr>
          <w:rFonts w:ascii="Arial" w:hAnsi="Arial"/>
          <w:sz w:val="24"/>
          <w:szCs w:val="24"/>
          <w:lang w:val="es-ES"/>
        </w:rPr>
        <w:t xml:space="preserve">Con respecto a los fármacos utilizados, </w:t>
      </w:r>
      <w:r w:rsidRPr="00BE2529">
        <w:rPr>
          <w:rFonts w:ascii="Arial" w:hAnsi="Arial"/>
          <w:sz w:val="24"/>
          <w:szCs w:val="24"/>
          <w:lang w:val="es-ES"/>
        </w:rPr>
        <w:t>si contáramos con técnica de inmunohistoquímica oportuna</w:t>
      </w:r>
      <w:r w:rsidR="00B34064">
        <w:rPr>
          <w:rFonts w:ascii="Arial" w:hAnsi="Arial"/>
          <w:sz w:val="24"/>
          <w:szCs w:val="24"/>
          <w:lang w:val="es-ES"/>
        </w:rPr>
        <w:t xml:space="preserve">, </w:t>
      </w:r>
      <w:r w:rsidRPr="00BE2529">
        <w:rPr>
          <w:rFonts w:ascii="Arial" w:hAnsi="Arial"/>
          <w:sz w:val="24"/>
          <w:szCs w:val="24"/>
          <w:lang w:val="es-ES"/>
        </w:rPr>
        <w:t>podrían ser utiliz</w:t>
      </w:r>
      <w:r w:rsidR="00F83F80">
        <w:rPr>
          <w:rFonts w:ascii="Arial" w:hAnsi="Arial"/>
          <w:sz w:val="24"/>
          <w:szCs w:val="24"/>
          <w:lang w:val="es-ES"/>
        </w:rPr>
        <w:t>ados</w:t>
      </w:r>
      <w:r w:rsidRPr="00BE2529">
        <w:rPr>
          <w:rFonts w:ascii="Arial" w:hAnsi="Arial"/>
          <w:sz w:val="24"/>
          <w:szCs w:val="24"/>
          <w:lang w:val="es-ES"/>
        </w:rPr>
        <w:t xml:space="preserve"> en tumores de otras localizaciones con respuesta demostrada a cada medicamento teniendo en cuenta </w:t>
      </w:r>
      <w:r w:rsidRPr="00BE2529">
        <w:rPr>
          <w:rFonts w:ascii="Arial" w:hAnsi="Arial"/>
          <w:sz w:val="24"/>
          <w:szCs w:val="24"/>
          <w:lang w:val="es-ES"/>
        </w:rPr>
        <w:lastRenderedPageBreak/>
        <w:t>que en el escenario utilizado las pacientes, según su inmunofenotipo tumoral y características biológicas, no se benefician de su empleo.</w:t>
      </w:r>
    </w:p>
    <w:p w14:paraId="3C3EF30F" w14:textId="12635098" w:rsidR="00E34353" w:rsidRPr="00BE2529" w:rsidRDefault="00E34353" w:rsidP="00E34353">
      <w:pPr>
        <w:spacing w:line="360" w:lineRule="auto"/>
        <w:jc w:val="both"/>
        <w:rPr>
          <w:rFonts w:ascii="Arial" w:hAnsi="Arial"/>
          <w:sz w:val="24"/>
          <w:szCs w:val="24"/>
          <w:lang w:val="es-US"/>
        </w:rPr>
      </w:pPr>
      <w:r w:rsidRPr="00BE2529">
        <w:rPr>
          <w:rFonts w:ascii="Arial" w:hAnsi="Arial"/>
          <w:sz w:val="24"/>
          <w:szCs w:val="24"/>
          <w:lang w:val="es-US"/>
        </w:rPr>
        <w:t xml:space="preserve">Podemos concluir que el año de mayor diagnóstico de cáncer de mama en Matanzas </w:t>
      </w:r>
      <w:r w:rsidR="00E571E8">
        <w:rPr>
          <w:rFonts w:ascii="Arial" w:hAnsi="Arial"/>
          <w:sz w:val="24"/>
          <w:szCs w:val="24"/>
          <w:lang w:val="es-US"/>
        </w:rPr>
        <w:t>es</w:t>
      </w:r>
      <w:r w:rsidRPr="00BE2529">
        <w:rPr>
          <w:rFonts w:ascii="Arial" w:hAnsi="Arial"/>
          <w:sz w:val="24"/>
          <w:szCs w:val="24"/>
          <w:lang w:val="es-US"/>
        </w:rPr>
        <w:t xml:space="preserve"> 2020 y en todos los años de estudio el grupo </w:t>
      </w:r>
      <w:r w:rsidR="00F83F80">
        <w:rPr>
          <w:rFonts w:ascii="Arial" w:hAnsi="Arial"/>
          <w:sz w:val="24"/>
          <w:szCs w:val="24"/>
          <w:lang w:val="es-US"/>
        </w:rPr>
        <w:t>que predomin</w:t>
      </w:r>
      <w:r w:rsidR="00E571E8">
        <w:rPr>
          <w:rFonts w:ascii="Arial" w:hAnsi="Arial"/>
          <w:sz w:val="24"/>
          <w:szCs w:val="24"/>
          <w:lang w:val="es-US"/>
        </w:rPr>
        <w:t>a</w:t>
      </w:r>
      <w:r w:rsidRPr="00BE2529">
        <w:rPr>
          <w:rFonts w:ascii="Arial" w:hAnsi="Arial"/>
          <w:sz w:val="24"/>
          <w:szCs w:val="24"/>
          <w:lang w:val="es-US"/>
        </w:rPr>
        <w:t xml:space="preserve"> </w:t>
      </w:r>
      <w:r w:rsidR="00E571E8">
        <w:rPr>
          <w:rFonts w:ascii="Arial" w:hAnsi="Arial"/>
          <w:sz w:val="24"/>
          <w:szCs w:val="24"/>
          <w:lang w:val="es-US"/>
        </w:rPr>
        <w:t>es</w:t>
      </w:r>
      <w:r w:rsidRPr="00BE2529">
        <w:rPr>
          <w:rFonts w:ascii="Arial" w:hAnsi="Arial"/>
          <w:sz w:val="24"/>
          <w:szCs w:val="24"/>
          <w:lang w:val="es-US"/>
        </w:rPr>
        <w:t xml:space="preserve"> el de inmunofenotipo desconocido.</w:t>
      </w:r>
      <w:r>
        <w:rPr>
          <w:rFonts w:ascii="Arial" w:hAnsi="Arial"/>
          <w:sz w:val="24"/>
          <w:szCs w:val="24"/>
          <w:lang w:val="es-US"/>
        </w:rPr>
        <w:t xml:space="preserve"> </w:t>
      </w:r>
      <w:r w:rsidRPr="00BE2529">
        <w:rPr>
          <w:rFonts w:ascii="Arial" w:hAnsi="Arial"/>
          <w:sz w:val="24"/>
          <w:szCs w:val="24"/>
          <w:lang w:val="es-US"/>
        </w:rPr>
        <w:t xml:space="preserve">Según el resultado de inmunohistoquímica 1 de cada 5 pacientes </w:t>
      </w:r>
      <w:r w:rsidR="00E571E8">
        <w:rPr>
          <w:rFonts w:ascii="Arial" w:hAnsi="Arial"/>
          <w:sz w:val="24"/>
          <w:szCs w:val="24"/>
          <w:lang w:val="es-US"/>
        </w:rPr>
        <w:t>es</w:t>
      </w:r>
      <w:r w:rsidRPr="00BE2529">
        <w:rPr>
          <w:rFonts w:ascii="Arial" w:hAnsi="Arial"/>
          <w:sz w:val="24"/>
          <w:szCs w:val="24"/>
          <w:lang w:val="es-US"/>
        </w:rPr>
        <w:t xml:space="preserve"> Luminal A con rango de edad más frecuente entre la </w:t>
      </w:r>
      <w:r>
        <w:rPr>
          <w:rFonts w:ascii="Arial" w:hAnsi="Arial"/>
          <w:sz w:val="24"/>
          <w:szCs w:val="24"/>
          <w:lang w:val="es-US"/>
        </w:rPr>
        <w:t>sexta</w:t>
      </w:r>
      <w:r w:rsidRPr="00BE2529">
        <w:rPr>
          <w:rFonts w:ascii="Arial" w:hAnsi="Arial"/>
          <w:sz w:val="24"/>
          <w:szCs w:val="24"/>
          <w:lang w:val="es-US"/>
        </w:rPr>
        <w:t xml:space="preserve"> y </w:t>
      </w:r>
      <w:r>
        <w:rPr>
          <w:rFonts w:ascii="Arial" w:hAnsi="Arial"/>
          <w:sz w:val="24"/>
          <w:szCs w:val="24"/>
          <w:lang w:val="es-US"/>
        </w:rPr>
        <w:t>séptima</w:t>
      </w:r>
      <w:r w:rsidRPr="00BE2529">
        <w:rPr>
          <w:rFonts w:ascii="Arial" w:hAnsi="Arial"/>
          <w:sz w:val="24"/>
          <w:szCs w:val="24"/>
          <w:lang w:val="es-US"/>
        </w:rPr>
        <w:t xml:space="preserve"> década</w:t>
      </w:r>
      <w:r>
        <w:rPr>
          <w:rFonts w:ascii="Arial" w:hAnsi="Arial"/>
          <w:sz w:val="24"/>
          <w:szCs w:val="24"/>
          <w:lang w:val="es-US"/>
        </w:rPr>
        <w:t>s</w:t>
      </w:r>
      <w:r w:rsidRPr="00BE2529">
        <w:rPr>
          <w:rFonts w:ascii="Arial" w:hAnsi="Arial"/>
          <w:sz w:val="24"/>
          <w:szCs w:val="24"/>
          <w:lang w:val="es-US"/>
        </w:rPr>
        <w:t xml:space="preserve"> de vida.</w:t>
      </w:r>
      <w:r>
        <w:rPr>
          <w:rFonts w:ascii="Arial" w:hAnsi="Arial"/>
          <w:sz w:val="24"/>
          <w:szCs w:val="24"/>
          <w:lang w:val="es-US"/>
        </w:rPr>
        <w:t xml:space="preserve"> </w:t>
      </w:r>
      <w:r w:rsidRPr="00BE2529">
        <w:rPr>
          <w:rFonts w:ascii="Arial" w:hAnsi="Arial"/>
          <w:sz w:val="24"/>
          <w:szCs w:val="24"/>
          <w:lang w:val="es-US"/>
        </w:rPr>
        <w:t>La cantidad de pacientes que obt</w:t>
      </w:r>
      <w:r w:rsidR="00E571E8">
        <w:rPr>
          <w:rFonts w:ascii="Arial" w:hAnsi="Arial"/>
          <w:sz w:val="24"/>
          <w:szCs w:val="24"/>
          <w:lang w:val="es-US"/>
        </w:rPr>
        <w:t>iene</w:t>
      </w:r>
      <w:r w:rsidRPr="00BE2529">
        <w:rPr>
          <w:rFonts w:ascii="Arial" w:hAnsi="Arial"/>
          <w:sz w:val="24"/>
          <w:szCs w:val="24"/>
          <w:lang w:val="es-US"/>
        </w:rPr>
        <w:t xml:space="preserve"> resultado de inmunohistoquímica en tiempo menor a 1 mes no </w:t>
      </w:r>
      <w:r w:rsidR="00E571E8">
        <w:rPr>
          <w:rFonts w:ascii="Arial" w:hAnsi="Arial"/>
          <w:sz w:val="24"/>
          <w:szCs w:val="24"/>
          <w:lang w:val="es-US"/>
        </w:rPr>
        <w:t>es</w:t>
      </w:r>
      <w:r w:rsidRPr="00BE2529">
        <w:rPr>
          <w:rFonts w:ascii="Arial" w:hAnsi="Arial"/>
          <w:sz w:val="24"/>
          <w:szCs w:val="24"/>
          <w:lang w:val="es-US"/>
        </w:rPr>
        <w:t xml:space="preserve"> significativa.</w:t>
      </w:r>
      <w:r>
        <w:rPr>
          <w:rFonts w:ascii="Arial" w:hAnsi="Arial"/>
          <w:sz w:val="24"/>
          <w:szCs w:val="24"/>
          <w:lang w:val="es-US"/>
        </w:rPr>
        <w:t xml:space="preserve"> </w:t>
      </w:r>
      <w:r w:rsidRPr="00BE2529">
        <w:rPr>
          <w:rFonts w:ascii="Arial" w:hAnsi="Arial"/>
          <w:sz w:val="24"/>
          <w:szCs w:val="24"/>
          <w:lang w:val="es-US"/>
        </w:rPr>
        <w:t xml:space="preserve">La </w:t>
      </w:r>
      <w:r>
        <w:rPr>
          <w:rFonts w:ascii="Arial" w:hAnsi="Arial"/>
          <w:sz w:val="24"/>
          <w:szCs w:val="24"/>
          <w:lang w:val="es-US"/>
        </w:rPr>
        <w:t xml:space="preserve">demora en la obtención del resultado de la </w:t>
      </w:r>
      <w:r w:rsidRPr="00BE2529">
        <w:rPr>
          <w:rFonts w:ascii="Arial" w:hAnsi="Arial"/>
          <w:sz w:val="24"/>
          <w:szCs w:val="24"/>
          <w:lang w:val="es-US"/>
        </w:rPr>
        <w:t xml:space="preserve">técnica de inmunohistoquímica </w:t>
      </w:r>
      <w:r w:rsidR="00E571E8" w:rsidRPr="00E571E8">
        <w:rPr>
          <w:rFonts w:ascii="Arial" w:hAnsi="Arial"/>
          <w:sz w:val="24"/>
          <w:szCs w:val="24"/>
          <w:lang w:val="es-US"/>
        </w:rPr>
        <w:t>representa un gasto excesivo de recursos</w:t>
      </w:r>
      <w:r w:rsidRPr="00BE2529">
        <w:rPr>
          <w:rFonts w:ascii="Arial" w:hAnsi="Arial"/>
          <w:sz w:val="24"/>
          <w:szCs w:val="24"/>
          <w:lang w:val="es-US"/>
        </w:rPr>
        <w:t xml:space="preserve"> en el Centro Oncológico Provincial de Matanzas.</w:t>
      </w:r>
    </w:p>
    <w:p w14:paraId="06871927" w14:textId="77777777" w:rsidR="00540B1E" w:rsidRPr="001405AD" w:rsidRDefault="00540B1E" w:rsidP="00BE2529">
      <w:pPr>
        <w:spacing w:line="360" w:lineRule="auto"/>
        <w:jc w:val="both"/>
        <w:rPr>
          <w:rFonts w:ascii="Arial" w:hAnsi="Arial"/>
          <w:b/>
          <w:bCs/>
          <w:sz w:val="24"/>
          <w:szCs w:val="24"/>
          <w:lang w:val="es-US"/>
        </w:rPr>
      </w:pPr>
      <w:r w:rsidRPr="001405AD">
        <w:rPr>
          <w:rFonts w:ascii="Arial" w:hAnsi="Arial"/>
          <w:b/>
          <w:bCs/>
          <w:sz w:val="24"/>
          <w:szCs w:val="24"/>
          <w:lang w:val="es-US"/>
        </w:rPr>
        <w:t>Referencias Bibliográficas</w:t>
      </w:r>
    </w:p>
    <w:p w14:paraId="07DC975B" w14:textId="77777777" w:rsidR="001405AD" w:rsidRPr="00CD64B5" w:rsidRDefault="001405AD" w:rsidP="001405AD">
      <w:pPr>
        <w:pStyle w:val="Prrafodelista"/>
        <w:numPr>
          <w:ilvl w:val="0"/>
          <w:numId w:val="4"/>
        </w:numPr>
        <w:spacing w:after="160" w:line="360" w:lineRule="auto"/>
        <w:jc w:val="both"/>
        <w:rPr>
          <w:rFonts w:ascii="Arial" w:hAnsi="Arial"/>
          <w:sz w:val="24"/>
          <w:szCs w:val="24"/>
          <w:lang w:val="es-ES"/>
        </w:rPr>
      </w:pPr>
      <w:r w:rsidRPr="00CD64B5">
        <w:rPr>
          <w:rFonts w:ascii="Arial" w:hAnsi="Arial"/>
          <w:sz w:val="24"/>
          <w:szCs w:val="24"/>
          <w:lang w:val="es-ES"/>
        </w:rPr>
        <w:t xml:space="preserve">Ríos Hidalgo, N. Patología General. ECIMED 2014: 19. ISBN 978-959-212-884-2. </w:t>
      </w:r>
    </w:p>
    <w:p w14:paraId="34A73BA7" w14:textId="77777777" w:rsidR="001405AD" w:rsidRPr="00CD64B5" w:rsidRDefault="001405AD" w:rsidP="001405AD">
      <w:pPr>
        <w:pStyle w:val="Prrafodelista"/>
        <w:numPr>
          <w:ilvl w:val="0"/>
          <w:numId w:val="4"/>
        </w:numPr>
        <w:spacing w:after="160" w:line="360" w:lineRule="auto"/>
        <w:jc w:val="both"/>
        <w:rPr>
          <w:rFonts w:ascii="Arial" w:hAnsi="Arial"/>
          <w:sz w:val="24"/>
          <w:szCs w:val="24"/>
          <w:lang w:val="es-ES"/>
        </w:rPr>
      </w:pPr>
      <w:proofErr w:type="spellStart"/>
      <w:r w:rsidRPr="00CD64B5">
        <w:rPr>
          <w:rFonts w:ascii="Arial" w:hAnsi="Arial"/>
          <w:sz w:val="24"/>
          <w:szCs w:val="24"/>
        </w:rPr>
        <w:t>Surenkok</w:t>
      </w:r>
      <w:proofErr w:type="spellEnd"/>
      <w:r w:rsidRPr="00CD64B5">
        <w:rPr>
          <w:rFonts w:ascii="Arial" w:hAnsi="Arial"/>
          <w:sz w:val="24"/>
          <w:szCs w:val="24"/>
        </w:rPr>
        <w:t xml:space="preserve"> S, </w:t>
      </w:r>
      <w:proofErr w:type="spellStart"/>
      <w:r w:rsidRPr="00CD64B5">
        <w:rPr>
          <w:rFonts w:ascii="Arial" w:hAnsi="Arial"/>
          <w:sz w:val="24"/>
          <w:szCs w:val="24"/>
        </w:rPr>
        <w:t>Tahberer</w:t>
      </w:r>
      <w:proofErr w:type="spellEnd"/>
      <w:r w:rsidRPr="00CD64B5">
        <w:rPr>
          <w:rFonts w:ascii="Arial" w:hAnsi="Arial"/>
          <w:sz w:val="24"/>
          <w:szCs w:val="24"/>
        </w:rPr>
        <w:t xml:space="preserve"> E, </w:t>
      </w:r>
      <w:proofErr w:type="spellStart"/>
      <w:r w:rsidRPr="00CD64B5">
        <w:rPr>
          <w:rFonts w:ascii="Arial" w:hAnsi="Arial"/>
          <w:sz w:val="24"/>
          <w:szCs w:val="24"/>
        </w:rPr>
        <w:t>Cinkaya</w:t>
      </w:r>
      <w:proofErr w:type="spellEnd"/>
      <w:r w:rsidRPr="00CD64B5">
        <w:rPr>
          <w:rFonts w:ascii="Arial" w:hAnsi="Arial"/>
          <w:sz w:val="24"/>
          <w:szCs w:val="24"/>
        </w:rPr>
        <w:t xml:space="preserve"> A, </w:t>
      </w:r>
      <w:proofErr w:type="spellStart"/>
      <w:r w:rsidRPr="00CD64B5">
        <w:rPr>
          <w:rFonts w:ascii="Arial" w:hAnsi="Arial"/>
          <w:sz w:val="24"/>
          <w:szCs w:val="24"/>
        </w:rPr>
        <w:t>Kodaz</w:t>
      </w:r>
      <w:proofErr w:type="spellEnd"/>
      <w:r w:rsidRPr="00CD64B5">
        <w:rPr>
          <w:rFonts w:ascii="Arial" w:hAnsi="Arial"/>
          <w:sz w:val="24"/>
          <w:szCs w:val="24"/>
        </w:rPr>
        <w:t xml:space="preserve"> H, </w:t>
      </w:r>
      <w:proofErr w:type="spellStart"/>
      <w:r w:rsidRPr="00CD64B5">
        <w:rPr>
          <w:rFonts w:ascii="Arial" w:hAnsi="Arial"/>
          <w:sz w:val="24"/>
          <w:szCs w:val="24"/>
        </w:rPr>
        <w:t>Deger</w:t>
      </w:r>
      <w:proofErr w:type="spellEnd"/>
      <w:r w:rsidRPr="00CD64B5">
        <w:rPr>
          <w:rFonts w:ascii="Arial" w:hAnsi="Arial"/>
          <w:sz w:val="24"/>
          <w:szCs w:val="24"/>
        </w:rPr>
        <w:t xml:space="preserve"> A. Metaplastic breast cancer: A case report. </w:t>
      </w:r>
      <w:r w:rsidRPr="00CD64B5">
        <w:rPr>
          <w:rFonts w:ascii="Arial" w:hAnsi="Arial"/>
          <w:sz w:val="24"/>
          <w:szCs w:val="24"/>
          <w:lang w:val="es-ES"/>
        </w:rPr>
        <w:t xml:space="preserve">J Pak </w:t>
      </w:r>
      <w:proofErr w:type="spellStart"/>
      <w:r w:rsidRPr="00CD64B5">
        <w:rPr>
          <w:rFonts w:ascii="Arial" w:hAnsi="Arial"/>
          <w:sz w:val="24"/>
          <w:szCs w:val="24"/>
          <w:lang w:val="es-ES"/>
        </w:rPr>
        <w:t>MedAssoc</w:t>
      </w:r>
      <w:proofErr w:type="spellEnd"/>
      <w:r w:rsidRPr="00CD64B5">
        <w:rPr>
          <w:rFonts w:ascii="Arial" w:hAnsi="Arial"/>
          <w:sz w:val="24"/>
          <w:szCs w:val="24"/>
          <w:lang w:val="es-ES"/>
        </w:rPr>
        <w:t>. 2018 Mar;68(3):466-468. PMID: 29540888.</w:t>
      </w:r>
    </w:p>
    <w:p w14:paraId="0EA834FC"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lang w:val="es-ES"/>
        </w:rPr>
        <w:t xml:space="preserve">Lluch A, </w:t>
      </w:r>
      <w:proofErr w:type="spellStart"/>
      <w:r w:rsidRPr="00CD64B5">
        <w:rPr>
          <w:rFonts w:ascii="Arial" w:hAnsi="Arial"/>
          <w:sz w:val="24"/>
          <w:szCs w:val="24"/>
          <w:lang w:val="es-ES"/>
        </w:rPr>
        <w:t>Eroles</w:t>
      </w:r>
      <w:proofErr w:type="spellEnd"/>
      <w:r w:rsidRPr="00CD64B5">
        <w:rPr>
          <w:rFonts w:ascii="Arial" w:hAnsi="Arial"/>
          <w:sz w:val="24"/>
          <w:szCs w:val="24"/>
          <w:lang w:val="es-ES"/>
        </w:rPr>
        <w:t xml:space="preserve"> P, Bosch A, Pérez-Fidalgo JA. </w:t>
      </w:r>
      <w:r w:rsidRPr="00CD64B5">
        <w:rPr>
          <w:rFonts w:ascii="Arial" w:hAnsi="Arial"/>
          <w:sz w:val="24"/>
          <w:szCs w:val="24"/>
        </w:rPr>
        <w:t xml:space="preserve">Molecular biology in breast cancer: intrinsic subtypes and signaling pathways. Cancer Treat Rev. 2012 Oct;38(6):698-707. </w:t>
      </w:r>
      <w:proofErr w:type="spellStart"/>
      <w:r w:rsidRPr="00CD64B5">
        <w:rPr>
          <w:rFonts w:ascii="Arial" w:hAnsi="Arial"/>
          <w:sz w:val="24"/>
          <w:szCs w:val="24"/>
        </w:rPr>
        <w:t>doi</w:t>
      </w:r>
      <w:proofErr w:type="spellEnd"/>
      <w:r w:rsidRPr="00CD64B5">
        <w:rPr>
          <w:rFonts w:ascii="Arial" w:hAnsi="Arial"/>
          <w:sz w:val="24"/>
          <w:szCs w:val="24"/>
        </w:rPr>
        <w:t xml:space="preserve">: 10.1016/j.ctrv.2011.11.005. </w:t>
      </w:r>
      <w:proofErr w:type="spellStart"/>
      <w:r w:rsidRPr="00CD64B5">
        <w:rPr>
          <w:rFonts w:ascii="Arial" w:hAnsi="Arial"/>
          <w:sz w:val="24"/>
          <w:szCs w:val="24"/>
        </w:rPr>
        <w:t>Epub</w:t>
      </w:r>
      <w:proofErr w:type="spellEnd"/>
      <w:r w:rsidRPr="00CD64B5">
        <w:rPr>
          <w:rFonts w:ascii="Arial" w:hAnsi="Arial"/>
          <w:sz w:val="24"/>
          <w:szCs w:val="24"/>
        </w:rPr>
        <w:t xml:space="preserve"> 2011 Dec 16. PMID: 22178455.</w:t>
      </w:r>
    </w:p>
    <w:p w14:paraId="66056DAE"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lang w:val="es-US"/>
        </w:rPr>
        <w:t xml:space="preserve">Soriano García JL y Col. Manual de Cáncer de mama. </w:t>
      </w:r>
      <w:r w:rsidRPr="00CD64B5">
        <w:rPr>
          <w:rFonts w:ascii="Arial" w:hAnsi="Arial"/>
          <w:sz w:val="24"/>
          <w:szCs w:val="24"/>
        </w:rPr>
        <w:t>La Habana. 2017</w:t>
      </w:r>
    </w:p>
    <w:p w14:paraId="794D86A5"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rPr>
        <w:t xml:space="preserve">Howlader N, Cronin KA, Kurian AW, </w:t>
      </w:r>
      <w:proofErr w:type="spellStart"/>
      <w:r w:rsidRPr="00CD64B5">
        <w:rPr>
          <w:rFonts w:ascii="Arial" w:hAnsi="Arial"/>
          <w:sz w:val="24"/>
          <w:szCs w:val="24"/>
        </w:rPr>
        <w:t>Andridge</w:t>
      </w:r>
      <w:proofErr w:type="spellEnd"/>
      <w:r w:rsidRPr="00CD64B5">
        <w:rPr>
          <w:rFonts w:ascii="Arial" w:hAnsi="Arial"/>
          <w:sz w:val="24"/>
          <w:szCs w:val="24"/>
        </w:rPr>
        <w:t xml:space="preserve"> R. Differences in Breast Cancer Survival by Molecular Subtypes in the United States. Cancer Epidemiol Biomarkers Prev. 2018 Jun;27(6):619-626. </w:t>
      </w:r>
      <w:proofErr w:type="spellStart"/>
      <w:r w:rsidRPr="00CD64B5">
        <w:rPr>
          <w:rFonts w:ascii="Arial" w:hAnsi="Arial"/>
          <w:sz w:val="24"/>
          <w:szCs w:val="24"/>
        </w:rPr>
        <w:t>doi</w:t>
      </w:r>
      <w:proofErr w:type="spellEnd"/>
      <w:r w:rsidRPr="00CD64B5">
        <w:rPr>
          <w:rFonts w:ascii="Arial" w:hAnsi="Arial"/>
          <w:sz w:val="24"/>
          <w:szCs w:val="24"/>
        </w:rPr>
        <w:t xml:space="preserve">: 10.1158/1055-9965.EPI-17-0627. </w:t>
      </w:r>
      <w:proofErr w:type="spellStart"/>
      <w:r w:rsidRPr="00CD64B5">
        <w:rPr>
          <w:rFonts w:ascii="Arial" w:hAnsi="Arial"/>
          <w:sz w:val="24"/>
          <w:szCs w:val="24"/>
        </w:rPr>
        <w:t>Epub</w:t>
      </w:r>
      <w:proofErr w:type="spellEnd"/>
      <w:r w:rsidRPr="00CD64B5">
        <w:rPr>
          <w:rFonts w:ascii="Arial" w:hAnsi="Arial"/>
          <w:sz w:val="24"/>
          <w:szCs w:val="24"/>
        </w:rPr>
        <w:t xml:space="preserve"> 2018 Mar 28. PMID: 29593010.</w:t>
      </w:r>
    </w:p>
    <w:p w14:paraId="2E33715C"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lang w:val="es-US"/>
        </w:rPr>
        <w:t xml:space="preserve">Poveda Miranda, J. S. Perfil inmunohistoquímico en mujeres con cáncer de mama atendidas en el Hospital Bertha Calderón Roque en el período de </w:t>
      </w:r>
      <w:proofErr w:type="gramStart"/>
      <w:r w:rsidRPr="00CD64B5">
        <w:rPr>
          <w:rFonts w:ascii="Arial" w:hAnsi="Arial"/>
          <w:sz w:val="24"/>
          <w:szCs w:val="24"/>
          <w:lang w:val="es-US"/>
        </w:rPr>
        <w:t>Enero</w:t>
      </w:r>
      <w:proofErr w:type="gramEnd"/>
      <w:r w:rsidRPr="00CD64B5">
        <w:rPr>
          <w:rFonts w:ascii="Arial" w:hAnsi="Arial"/>
          <w:sz w:val="24"/>
          <w:szCs w:val="24"/>
          <w:lang w:val="es-US"/>
        </w:rPr>
        <w:t xml:space="preserve"> 2016- Enero 2017. (internet). Universidad nacional autónoma de Nicaragua unan- Managua; 2017 (citado 19 octubre de 2020). </w:t>
      </w:r>
      <w:r w:rsidRPr="00CD64B5">
        <w:rPr>
          <w:rFonts w:ascii="Arial" w:hAnsi="Arial"/>
          <w:sz w:val="24"/>
          <w:szCs w:val="24"/>
        </w:rPr>
        <w:t xml:space="preserve">Disponible </w:t>
      </w:r>
      <w:proofErr w:type="spellStart"/>
      <w:r w:rsidRPr="00CD64B5">
        <w:rPr>
          <w:rFonts w:ascii="Arial" w:hAnsi="Arial"/>
          <w:sz w:val="24"/>
          <w:szCs w:val="24"/>
        </w:rPr>
        <w:t>en</w:t>
      </w:r>
      <w:proofErr w:type="spellEnd"/>
      <w:r w:rsidRPr="00CD64B5">
        <w:rPr>
          <w:rFonts w:ascii="Arial" w:hAnsi="Arial"/>
          <w:sz w:val="24"/>
          <w:szCs w:val="24"/>
        </w:rPr>
        <w:t xml:space="preserve">: </w:t>
      </w:r>
      <w:hyperlink r:id="rId23" w:history="1">
        <w:r w:rsidR="0005699B" w:rsidRPr="00EA12A0">
          <w:rPr>
            <w:rStyle w:val="Hipervnculo"/>
            <w:rFonts w:ascii="Arial" w:hAnsi="Arial"/>
            <w:sz w:val="24"/>
            <w:szCs w:val="24"/>
          </w:rPr>
          <w:t>http://repositorio.umam.edu.ni/4374/1/96863.pdf</w:t>
        </w:r>
      </w:hyperlink>
    </w:p>
    <w:p w14:paraId="0690B55C" w14:textId="77777777" w:rsidR="001405AD" w:rsidRPr="00CD64B5" w:rsidRDefault="001405AD" w:rsidP="0005699B">
      <w:pPr>
        <w:pStyle w:val="Prrafodelista"/>
        <w:numPr>
          <w:ilvl w:val="0"/>
          <w:numId w:val="4"/>
        </w:numPr>
        <w:spacing w:after="160" w:line="360" w:lineRule="auto"/>
        <w:jc w:val="both"/>
        <w:rPr>
          <w:rFonts w:ascii="Arial" w:hAnsi="Arial"/>
          <w:sz w:val="24"/>
          <w:szCs w:val="24"/>
          <w:lang w:val="es-US"/>
        </w:rPr>
      </w:pPr>
      <w:r w:rsidRPr="00CD64B5">
        <w:rPr>
          <w:rFonts w:ascii="Arial" w:hAnsi="Arial"/>
          <w:sz w:val="24"/>
          <w:szCs w:val="24"/>
          <w:lang w:val="es-US"/>
        </w:rPr>
        <w:lastRenderedPageBreak/>
        <w:t xml:space="preserve">López </w:t>
      </w:r>
      <w:proofErr w:type="gramStart"/>
      <w:r w:rsidRPr="00CD64B5">
        <w:rPr>
          <w:rFonts w:ascii="Arial" w:hAnsi="Arial"/>
          <w:sz w:val="24"/>
          <w:szCs w:val="24"/>
          <w:lang w:val="es-US"/>
        </w:rPr>
        <w:t>García,.</w:t>
      </w:r>
      <w:proofErr w:type="gramEnd"/>
      <w:r w:rsidRPr="00CD64B5">
        <w:rPr>
          <w:rFonts w:ascii="Arial" w:hAnsi="Arial"/>
          <w:sz w:val="24"/>
          <w:szCs w:val="24"/>
          <w:lang w:val="es-US"/>
        </w:rPr>
        <w:t xml:space="preserve"> Características histopatológicas e inmunohistoquímicas de los carcinomas de mama diagnosticados en programas de cribado de cáncer de mama. Sevilla. 2018.</w:t>
      </w:r>
      <w:hyperlink r:id="rId24" w:history="1">
        <w:r w:rsidR="0005699B" w:rsidRPr="00EA12A0">
          <w:rPr>
            <w:rStyle w:val="Hipervnculo"/>
            <w:rFonts w:ascii="Arial" w:hAnsi="Arial"/>
            <w:sz w:val="24"/>
            <w:szCs w:val="24"/>
            <w:lang w:val="es-US"/>
          </w:rPr>
          <w:t>https://www.juntadeandalucia.es/salud/portaldeetica/xhtml/ayuda/verificarFirmaDocumento.iface/code/cf241064284d6c5ec6a605aed5ce489a4cdc5bcd</w:t>
        </w:r>
      </w:hyperlink>
    </w:p>
    <w:p w14:paraId="788A4337" w14:textId="77777777" w:rsidR="001405AD" w:rsidRPr="001405AD" w:rsidRDefault="001405AD" w:rsidP="001405AD">
      <w:pPr>
        <w:pStyle w:val="Prrafodelista"/>
        <w:numPr>
          <w:ilvl w:val="0"/>
          <w:numId w:val="4"/>
        </w:numPr>
        <w:spacing w:after="160" w:line="360" w:lineRule="auto"/>
        <w:jc w:val="both"/>
        <w:rPr>
          <w:rFonts w:ascii="Arial" w:hAnsi="Arial"/>
          <w:sz w:val="24"/>
          <w:szCs w:val="24"/>
          <w:lang w:val="es-US"/>
        </w:rPr>
      </w:pPr>
      <w:proofErr w:type="spellStart"/>
      <w:r w:rsidRPr="001405AD">
        <w:rPr>
          <w:rFonts w:ascii="Arial" w:hAnsi="Arial"/>
          <w:sz w:val="24"/>
          <w:szCs w:val="24"/>
          <w:lang w:val="es-US"/>
        </w:rPr>
        <w:t>Maffus-Aziz</w:t>
      </w:r>
      <w:proofErr w:type="spellEnd"/>
      <w:r w:rsidRPr="001405AD">
        <w:rPr>
          <w:rFonts w:ascii="Arial" w:hAnsi="Arial"/>
          <w:sz w:val="24"/>
          <w:szCs w:val="24"/>
          <w:lang w:val="es-US"/>
        </w:rPr>
        <w:t xml:space="preserve"> A, Labastida- </w:t>
      </w:r>
      <w:proofErr w:type="spellStart"/>
      <w:r w:rsidRPr="001405AD">
        <w:rPr>
          <w:rFonts w:ascii="Arial" w:hAnsi="Arial"/>
          <w:sz w:val="24"/>
          <w:szCs w:val="24"/>
          <w:lang w:val="es-US"/>
        </w:rPr>
        <w:t>Almen</w:t>
      </w:r>
      <w:r w:rsidR="00D16C5C">
        <w:rPr>
          <w:rFonts w:ascii="Arial" w:hAnsi="Arial"/>
          <w:sz w:val="24"/>
          <w:szCs w:val="24"/>
          <w:lang w:val="es-US"/>
        </w:rPr>
        <w:t>daro</w:t>
      </w:r>
      <w:proofErr w:type="spellEnd"/>
      <w:r w:rsidR="00D16C5C">
        <w:rPr>
          <w:rFonts w:ascii="Arial" w:hAnsi="Arial"/>
          <w:sz w:val="24"/>
          <w:szCs w:val="24"/>
          <w:lang w:val="es-US"/>
        </w:rPr>
        <w:t xml:space="preserve"> S, Espejo- Fonseca A, Rodr</w:t>
      </w:r>
      <w:r w:rsidRPr="001405AD">
        <w:rPr>
          <w:rFonts w:ascii="Arial" w:hAnsi="Arial"/>
          <w:sz w:val="24"/>
          <w:szCs w:val="24"/>
          <w:lang w:val="es-US"/>
        </w:rPr>
        <w:t>í</w:t>
      </w:r>
      <w:r w:rsidR="00D16C5C">
        <w:rPr>
          <w:rFonts w:ascii="Arial" w:hAnsi="Arial"/>
          <w:sz w:val="24"/>
          <w:szCs w:val="24"/>
          <w:lang w:val="es-US"/>
        </w:rPr>
        <w:t xml:space="preserve">guez- Cuevas S. </w:t>
      </w:r>
      <w:proofErr w:type="spellStart"/>
      <w:r w:rsidR="00D16C5C">
        <w:rPr>
          <w:rFonts w:ascii="Arial" w:hAnsi="Arial"/>
          <w:sz w:val="24"/>
          <w:szCs w:val="24"/>
          <w:lang w:val="es-US"/>
        </w:rPr>
        <w:t>Clinical</w:t>
      </w:r>
      <w:proofErr w:type="spellEnd"/>
      <w:r w:rsidR="00D16C5C">
        <w:rPr>
          <w:rFonts w:ascii="Arial" w:hAnsi="Arial"/>
          <w:sz w:val="24"/>
          <w:szCs w:val="24"/>
          <w:lang w:val="es-US"/>
        </w:rPr>
        <w:t xml:space="preserve"> and </w:t>
      </w:r>
      <w:proofErr w:type="spellStart"/>
      <w:r w:rsidR="00D16C5C">
        <w:rPr>
          <w:rFonts w:ascii="Arial" w:hAnsi="Arial"/>
          <w:sz w:val="24"/>
          <w:szCs w:val="24"/>
          <w:lang w:val="es-US"/>
        </w:rPr>
        <w:t>pat</w:t>
      </w:r>
      <w:r w:rsidRPr="001405AD">
        <w:rPr>
          <w:rFonts w:ascii="Arial" w:hAnsi="Arial"/>
          <w:sz w:val="24"/>
          <w:szCs w:val="24"/>
          <w:lang w:val="es-US"/>
        </w:rPr>
        <w:t>hological</w:t>
      </w:r>
      <w:proofErr w:type="spellEnd"/>
      <w:r w:rsidR="00D16C5C">
        <w:rPr>
          <w:rFonts w:ascii="Arial" w:hAnsi="Arial"/>
          <w:sz w:val="24"/>
          <w:szCs w:val="24"/>
          <w:lang w:val="es-US"/>
        </w:rPr>
        <w:t xml:space="preserve"> </w:t>
      </w:r>
      <w:proofErr w:type="spellStart"/>
      <w:r w:rsidRPr="001405AD">
        <w:rPr>
          <w:rFonts w:ascii="Arial" w:hAnsi="Arial"/>
          <w:sz w:val="24"/>
          <w:szCs w:val="24"/>
          <w:lang w:val="es-US"/>
        </w:rPr>
        <w:t>features</w:t>
      </w:r>
      <w:proofErr w:type="spellEnd"/>
      <w:r w:rsidR="00D16C5C">
        <w:rPr>
          <w:rFonts w:ascii="Arial" w:hAnsi="Arial"/>
          <w:sz w:val="24"/>
          <w:szCs w:val="24"/>
          <w:lang w:val="es-US"/>
        </w:rPr>
        <w:t xml:space="preserve"> </w:t>
      </w:r>
      <w:proofErr w:type="spellStart"/>
      <w:r w:rsidRPr="001405AD">
        <w:rPr>
          <w:rFonts w:ascii="Arial" w:hAnsi="Arial"/>
          <w:sz w:val="24"/>
          <w:szCs w:val="24"/>
          <w:lang w:val="es-US"/>
        </w:rPr>
        <w:t>of</w:t>
      </w:r>
      <w:proofErr w:type="spellEnd"/>
      <w:r w:rsidR="00D16C5C">
        <w:rPr>
          <w:rFonts w:ascii="Arial" w:hAnsi="Arial"/>
          <w:sz w:val="24"/>
          <w:szCs w:val="24"/>
          <w:lang w:val="es-US"/>
        </w:rPr>
        <w:t xml:space="preserve"> </w:t>
      </w:r>
      <w:proofErr w:type="spellStart"/>
      <w:r w:rsidRPr="001405AD">
        <w:rPr>
          <w:rFonts w:ascii="Arial" w:hAnsi="Arial"/>
          <w:sz w:val="24"/>
          <w:szCs w:val="24"/>
          <w:lang w:val="es-US"/>
        </w:rPr>
        <w:t>breast</w:t>
      </w:r>
      <w:proofErr w:type="spellEnd"/>
      <w:r w:rsidR="00D16C5C">
        <w:rPr>
          <w:rFonts w:ascii="Arial" w:hAnsi="Arial"/>
          <w:sz w:val="24"/>
          <w:szCs w:val="24"/>
          <w:lang w:val="es-US"/>
        </w:rPr>
        <w:t xml:space="preserve"> </w:t>
      </w:r>
      <w:proofErr w:type="spellStart"/>
      <w:r w:rsidRPr="001405AD">
        <w:rPr>
          <w:rFonts w:ascii="Arial" w:hAnsi="Arial"/>
          <w:sz w:val="24"/>
          <w:szCs w:val="24"/>
          <w:lang w:val="es-US"/>
        </w:rPr>
        <w:t>cancer</w:t>
      </w:r>
      <w:proofErr w:type="spellEnd"/>
      <w:r w:rsidRPr="001405AD">
        <w:rPr>
          <w:rFonts w:ascii="Arial" w:hAnsi="Arial"/>
          <w:sz w:val="24"/>
          <w:szCs w:val="24"/>
          <w:lang w:val="es-US"/>
        </w:rPr>
        <w:t xml:space="preserve"> in a </w:t>
      </w:r>
      <w:proofErr w:type="spellStart"/>
      <w:r w:rsidRPr="001405AD">
        <w:rPr>
          <w:rFonts w:ascii="Arial" w:hAnsi="Arial"/>
          <w:sz w:val="24"/>
          <w:szCs w:val="24"/>
          <w:lang w:val="es-US"/>
        </w:rPr>
        <w:t>population</w:t>
      </w:r>
      <w:proofErr w:type="spellEnd"/>
      <w:r w:rsidR="00D16C5C">
        <w:rPr>
          <w:rFonts w:ascii="Arial" w:hAnsi="Arial"/>
          <w:sz w:val="24"/>
          <w:szCs w:val="24"/>
          <w:lang w:val="es-US"/>
        </w:rPr>
        <w:t xml:space="preserve"> </w:t>
      </w:r>
      <w:proofErr w:type="spellStart"/>
      <w:r w:rsidRPr="001405AD">
        <w:rPr>
          <w:rFonts w:ascii="Arial" w:hAnsi="Arial"/>
          <w:sz w:val="24"/>
          <w:szCs w:val="24"/>
          <w:lang w:val="es-US"/>
        </w:rPr>
        <w:t>of</w:t>
      </w:r>
      <w:proofErr w:type="spellEnd"/>
      <w:r w:rsidR="00D16C5C">
        <w:rPr>
          <w:rFonts w:ascii="Arial" w:hAnsi="Arial"/>
          <w:sz w:val="24"/>
          <w:szCs w:val="24"/>
          <w:lang w:val="es-US"/>
        </w:rPr>
        <w:t xml:space="preserve"> </w:t>
      </w:r>
      <w:proofErr w:type="spellStart"/>
      <w:r w:rsidRPr="001405AD">
        <w:rPr>
          <w:rFonts w:ascii="Arial" w:hAnsi="Arial"/>
          <w:sz w:val="24"/>
          <w:szCs w:val="24"/>
          <w:lang w:val="es-US"/>
        </w:rPr>
        <w:t>Mexico</w:t>
      </w:r>
      <w:proofErr w:type="spellEnd"/>
      <w:r w:rsidRPr="001405AD">
        <w:rPr>
          <w:rFonts w:ascii="Arial" w:hAnsi="Arial"/>
          <w:sz w:val="24"/>
          <w:szCs w:val="24"/>
          <w:lang w:val="es-US"/>
        </w:rPr>
        <w:t xml:space="preserve">. Cirugía y Cirujanos. (Internet). May- June 2017 (citado 19 octubre 2020); 85 (3): aprox. 6p. Disponible en: </w:t>
      </w:r>
      <w:hyperlink r:id="rId25" w:history="1">
        <w:r w:rsidR="0005699B" w:rsidRPr="00EA12A0">
          <w:rPr>
            <w:rStyle w:val="Hipervnculo"/>
            <w:rFonts w:ascii="Arial" w:hAnsi="Arial"/>
            <w:sz w:val="24"/>
            <w:szCs w:val="24"/>
            <w:lang w:val="es-US"/>
          </w:rPr>
          <w:t>http://www.sciencedirect.com/science/article/pii/S000974111630069X</w:t>
        </w:r>
      </w:hyperlink>
    </w:p>
    <w:p w14:paraId="6B41890B"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rPr>
        <w:t>American Cancer Society. Breast Cancer Fact&amp; Figures 2019- 2020. Atlanta: American Cancer Society, Inc. 2019.</w:t>
      </w:r>
    </w:p>
    <w:p w14:paraId="4C3352C5"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rPr>
        <w:t xml:space="preserve">Parise CA, </w:t>
      </w:r>
      <w:proofErr w:type="spellStart"/>
      <w:r w:rsidRPr="00CD64B5">
        <w:rPr>
          <w:rFonts w:ascii="Arial" w:hAnsi="Arial"/>
          <w:sz w:val="24"/>
          <w:szCs w:val="24"/>
        </w:rPr>
        <w:t>Caggiano</w:t>
      </w:r>
      <w:proofErr w:type="spellEnd"/>
      <w:r w:rsidRPr="00CD64B5">
        <w:rPr>
          <w:rFonts w:ascii="Arial" w:hAnsi="Arial"/>
          <w:sz w:val="24"/>
          <w:szCs w:val="24"/>
        </w:rPr>
        <w:t xml:space="preserve"> V. Risk of mortality of node-negative, ER/PR/ HER2 breast cancer subtypes in T1, T2, and T3 tumors. Breast Cancer Res Treat. 2017;165(3):743-750.</w:t>
      </w:r>
    </w:p>
    <w:p w14:paraId="67FB3F6F"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proofErr w:type="spellStart"/>
      <w:r w:rsidRPr="00CD64B5">
        <w:rPr>
          <w:rFonts w:ascii="Arial" w:hAnsi="Arial"/>
          <w:sz w:val="24"/>
          <w:szCs w:val="24"/>
        </w:rPr>
        <w:t>Yager</w:t>
      </w:r>
      <w:proofErr w:type="spellEnd"/>
      <w:r w:rsidRPr="00CD64B5">
        <w:rPr>
          <w:rFonts w:ascii="Arial" w:hAnsi="Arial"/>
          <w:sz w:val="24"/>
          <w:szCs w:val="24"/>
        </w:rPr>
        <w:t xml:space="preserve"> JD, Davidson NE. Estrogen carcinogenesis in breast cancer. N </w:t>
      </w:r>
      <w:proofErr w:type="spellStart"/>
      <w:r w:rsidRPr="00CD64B5">
        <w:rPr>
          <w:rFonts w:ascii="Arial" w:hAnsi="Arial"/>
          <w:sz w:val="24"/>
          <w:szCs w:val="24"/>
        </w:rPr>
        <w:t>Engl</w:t>
      </w:r>
      <w:proofErr w:type="spellEnd"/>
      <w:r w:rsidRPr="00CD64B5">
        <w:rPr>
          <w:rFonts w:ascii="Arial" w:hAnsi="Arial"/>
          <w:sz w:val="24"/>
          <w:szCs w:val="24"/>
        </w:rPr>
        <w:t xml:space="preserve"> J Med. 2006 Jan 19;354(3):270-82. </w:t>
      </w:r>
      <w:proofErr w:type="spellStart"/>
      <w:r w:rsidRPr="00CD64B5">
        <w:rPr>
          <w:rFonts w:ascii="Arial" w:hAnsi="Arial"/>
          <w:sz w:val="24"/>
          <w:szCs w:val="24"/>
        </w:rPr>
        <w:t>doi</w:t>
      </w:r>
      <w:proofErr w:type="spellEnd"/>
      <w:r w:rsidRPr="00CD64B5">
        <w:rPr>
          <w:rFonts w:ascii="Arial" w:hAnsi="Arial"/>
          <w:sz w:val="24"/>
          <w:szCs w:val="24"/>
        </w:rPr>
        <w:t>: 10.1056/NEJMra050776. PMID: 16421368.</w:t>
      </w:r>
    </w:p>
    <w:p w14:paraId="2CBD666F"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proofErr w:type="spellStart"/>
      <w:r w:rsidRPr="00CD64B5">
        <w:rPr>
          <w:rFonts w:ascii="Arial" w:hAnsi="Arial"/>
          <w:sz w:val="24"/>
          <w:szCs w:val="24"/>
        </w:rPr>
        <w:t>Belachew</w:t>
      </w:r>
      <w:proofErr w:type="spellEnd"/>
      <w:r w:rsidRPr="00CD64B5">
        <w:rPr>
          <w:rFonts w:ascii="Arial" w:hAnsi="Arial"/>
          <w:sz w:val="24"/>
          <w:szCs w:val="24"/>
        </w:rPr>
        <w:t xml:space="preserve"> EB, </w:t>
      </w:r>
      <w:proofErr w:type="spellStart"/>
      <w:r w:rsidRPr="00CD64B5">
        <w:rPr>
          <w:rFonts w:ascii="Arial" w:hAnsi="Arial"/>
          <w:sz w:val="24"/>
          <w:szCs w:val="24"/>
        </w:rPr>
        <w:t>Sewasew</w:t>
      </w:r>
      <w:proofErr w:type="spellEnd"/>
      <w:r w:rsidRPr="00CD64B5">
        <w:rPr>
          <w:rFonts w:ascii="Arial" w:hAnsi="Arial"/>
          <w:sz w:val="24"/>
          <w:szCs w:val="24"/>
        </w:rPr>
        <w:t xml:space="preserve"> DT. Molecular Mechanisms of Endocrine Resistance in Estrogen-Positive Breast Cancer. Front Endocrinol (Lausanne). 2021 Mar 25; 12:599586. </w:t>
      </w:r>
      <w:proofErr w:type="spellStart"/>
      <w:r w:rsidRPr="00CD64B5">
        <w:rPr>
          <w:rFonts w:ascii="Arial" w:hAnsi="Arial"/>
          <w:sz w:val="24"/>
          <w:szCs w:val="24"/>
        </w:rPr>
        <w:t>doi</w:t>
      </w:r>
      <w:proofErr w:type="spellEnd"/>
      <w:r w:rsidRPr="00CD64B5">
        <w:rPr>
          <w:rFonts w:ascii="Arial" w:hAnsi="Arial"/>
          <w:sz w:val="24"/>
          <w:szCs w:val="24"/>
        </w:rPr>
        <w:t xml:space="preserve">: 10.3389/fendo.2021.599586. Erratum in: Front Endocrinol (Lausanne). 2021 May </w:t>
      </w:r>
      <w:proofErr w:type="gramStart"/>
      <w:r w:rsidRPr="00CD64B5">
        <w:rPr>
          <w:rFonts w:ascii="Arial" w:hAnsi="Arial"/>
          <w:sz w:val="24"/>
          <w:szCs w:val="24"/>
        </w:rPr>
        <w:t>11;12:689705</w:t>
      </w:r>
      <w:proofErr w:type="gramEnd"/>
      <w:r w:rsidRPr="00CD64B5">
        <w:rPr>
          <w:rFonts w:ascii="Arial" w:hAnsi="Arial"/>
          <w:sz w:val="24"/>
          <w:szCs w:val="24"/>
        </w:rPr>
        <w:t>. PMID: 33841325; PMCID: PMC8030661.</w:t>
      </w:r>
    </w:p>
    <w:p w14:paraId="790F7362"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rPr>
        <w:t xml:space="preserve">Harold J. Burstein, M.D. Systemic Therapy for Estrogen Receptor– Positive, HER2-Negative Breast Cancer. N </w:t>
      </w:r>
      <w:proofErr w:type="spellStart"/>
      <w:r w:rsidRPr="00CD64B5">
        <w:rPr>
          <w:rFonts w:ascii="Arial" w:hAnsi="Arial"/>
          <w:sz w:val="24"/>
          <w:szCs w:val="24"/>
        </w:rPr>
        <w:t>Engl</w:t>
      </w:r>
      <w:proofErr w:type="spellEnd"/>
      <w:r w:rsidRPr="00CD64B5">
        <w:rPr>
          <w:rFonts w:ascii="Arial" w:hAnsi="Arial"/>
          <w:sz w:val="24"/>
          <w:szCs w:val="24"/>
        </w:rPr>
        <w:t xml:space="preserve"> J Med 2020; 383:2557-70.</w:t>
      </w:r>
    </w:p>
    <w:p w14:paraId="60CA663E" w14:textId="04E36712" w:rsidR="001405AD" w:rsidRPr="00CD64B5" w:rsidRDefault="001405AD" w:rsidP="001405AD">
      <w:pPr>
        <w:pStyle w:val="Prrafodelista"/>
        <w:numPr>
          <w:ilvl w:val="0"/>
          <w:numId w:val="4"/>
        </w:numPr>
        <w:spacing w:after="160" w:line="360" w:lineRule="auto"/>
        <w:jc w:val="both"/>
        <w:rPr>
          <w:rFonts w:ascii="Arial" w:hAnsi="Arial"/>
          <w:sz w:val="24"/>
          <w:szCs w:val="24"/>
        </w:rPr>
      </w:pPr>
      <w:proofErr w:type="spellStart"/>
      <w:r w:rsidRPr="00B34064">
        <w:rPr>
          <w:rFonts w:ascii="Arial" w:hAnsi="Arial"/>
          <w:sz w:val="24"/>
          <w:szCs w:val="24"/>
        </w:rPr>
        <w:t>Marrazzo</w:t>
      </w:r>
      <w:proofErr w:type="spellEnd"/>
      <w:r w:rsidRPr="00B34064">
        <w:rPr>
          <w:rFonts w:ascii="Arial" w:hAnsi="Arial"/>
          <w:sz w:val="24"/>
          <w:szCs w:val="24"/>
        </w:rPr>
        <w:t xml:space="preserve"> E, </w:t>
      </w:r>
      <w:proofErr w:type="spellStart"/>
      <w:r w:rsidRPr="00B34064">
        <w:rPr>
          <w:rFonts w:ascii="Arial" w:hAnsi="Arial"/>
          <w:sz w:val="24"/>
          <w:szCs w:val="24"/>
        </w:rPr>
        <w:t>Frusone</w:t>
      </w:r>
      <w:proofErr w:type="spellEnd"/>
      <w:r w:rsidRPr="00B34064">
        <w:rPr>
          <w:rFonts w:ascii="Arial" w:hAnsi="Arial"/>
          <w:sz w:val="24"/>
          <w:szCs w:val="24"/>
        </w:rPr>
        <w:t xml:space="preserve"> F, </w:t>
      </w:r>
      <w:proofErr w:type="spellStart"/>
      <w:r w:rsidRPr="00B34064">
        <w:rPr>
          <w:rFonts w:ascii="Arial" w:hAnsi="Arial"/>
          <w:sz w:val="24"/>
          <w:szCs w:val="24"/>
        </w:rPr>
        <w:t>Milana</w:t>
      </w:r>
      <w:proofErr w:type="spellEnd"/>
      <w:r w:rsidRPr="00B34064">
        <w:rPr>
          <w:rFonts w:ascii="Arial" w:hAnsi="Arial"/>
          <w:sz w:val="24"/>
          <w:szCs w:val="24"/>
        </w:rPr>
        <w:t xml:space="preserve"> F. </w:t>
      </w:r>
      <w:r w:rsidRPr="00CD64B5">
        <w:rPr>
          <w:rFonts w:ascii="Arial" w:hAnsi="Arial"/>
          <w:sz w:val="24"/>
          <w:szCs w:val="24"/>
        </w:rPr>
        <w:t>Mucinous breast cancer: A narrative review of the literature and a retrospective tertiary single-</w:t>
      </w:r>
      <w:proofErr w:type="spellStart"/>
      <w:r w:rsidRPr="00CD64B5">
        <w:rPr>
          <w:rFonts w:ascii="Arial" w:hAnsi="Arial"/>
          <w:sz w:val="24"/>
          <w:szCs w:val="24"/>
        </w:rPr>
        <w:t>centre</w:t>
      </w:r>
      <w:proofErr w:type="spellEnd"/>
      <w:r w:rsidRPr="00CD64B5">
        <w:rPr>
          <w:rFonts w:ascii="Arial" w:hAnsi="Arial"/>
          <w:sz w:val="24"/>
          <w:szCs w:val="24"/>
        </w:rPr>
        <w:t xml:space="preserve"> analysis. Breast. 2020 Feb; 49:87-92. </w:t>
      </w:r>
      <w:proofErr w:type="spellStart"/>
      <w:r w:rsidRPr="00CD64B5">
        <w:rPr>
          <w:rFonts w:ascii="Arial" w:hAnsi="Arial"/>
          <w:sz w:val="24"/>
          <w:szCs w:val="24"/>
        </w:rPr>
        <w:t>doi</w:t>
      </w:r>
      <w:proofErr w:type="spellEnd"/>
      <w:r w:rsidRPr="00CD64B5">
        <w:rPr>
          <w:rFonts w:ascii="Arial" w:hAnsi="Arial"/>
          <w:sz w:val="24"/>
          <w:szCs w:val="24"/>
        </w:rPr>
        <w:t xml:space="preserve">: 10.1016/j.breast.2019.11.002. </w:t>
      </w:r>
      <w:proofErr w:type="spellStart"/>
      <w:r w:rsidRPr="00CD64B5">
        <w:rPr>
          <w:rFonts w:ascii="Arial" w:hAnsi="Arial"/>
          <w:sz w:val="24"/>
          <w:szCs w:val="24"/>
        </w:rPr>
        <w:t>Epub</w:t>
      </w:r>
      <w:proofErr w:type="spellEnd"/>
      <w:r w:rsidRPr="00CD64B5">
        <w:rPr>
          <w:rFonts w:ascii="Arial" w:hAnsi="Arial"/>
          <w:sz w:val="24"/>
          <w:szCs w:val="24"/>
        </w:rPr>
        <w:t xml:space="preserve"> 2019 Nov 11. PMID: 31783314; PMCID: PMC7375663. </w:t>
      </w:r>
    </w:p>
    <w:p w14:paraId="4FC14B3D"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proofErr w:type="spellStart"/>
      <w:r w:rsidRPr="00CD64B5">
        <w:rPr>
          <w:rFonts w:ascii="Arial" w:hAnsi="Arial"/>
          <w:sz w:val="24"/>
          <w:szCs w:val="24"/>
        </w:rPr>
        <w:t>Litière</w:t>
      </w:r>
      <w:proofErr w:type="spellEnd"/>
      <w:r w:rsidRPr="00CD64B5">
        <w:rPr>
          <w:rFonts w:ascii="Arial" w:hAnsi="Arial"/>
          <w:sz w:val="24"/>
          <w:szCs w:val="24"/>
        </w:rPr>
        <w:t xml:space="preserve"> S, Collette S, de Vries EG, Seymour L, Bogaerts J. RECIST - learning from the past to build the future. Nat Rev Clin Oncol. 2017 Mar;14(3):187-192. </w:t>
      </w:r>
      <w:proofErr w:type="spellStart"/>
      <w:r w:rsidRPr="00CD64B5">
        <w:rPr>
          <w:rFonts w:ascii="Arial" w:hAnsi="Arial"/>
          <w:sz w:val="24"/>
          <w:szCs w:val="24"/>
        </w:rPr>
        <w:t>doi</w:t>
      </w:r>
      <w:proofErr w:type="spellEnd"/>
      <w:r w:rsidRPr="00CD64B5">
        <w:rPr>
          <w:rFonts w:ascii="Arial" w:hAnsi="Arial"/>
          <w:sz w:val="24"/>
          <w:szCs w:val="24"/>
        </w:rPr>
        <w:t xml:space="preserve">: 10.1038/nrclinonc.2016.195. </w:t>
      </w:r>
      <w:proofErr w:type="spellStart"/>
      <w:r w:rsidRPr="00CD64B5">
        <w:rPr>
          <w:rFonts w:ascii="Arial" w:hAnsi="Arial"/>
          <w:sz w:val="24"/>
          <w:szCs w:val="24"/>
        </w:rPr>
        <w:t>Epub</w:t>
      </w:r>
      <w:proofErr w:type="spellEnd"/>
      <w:r w:rsidRPr="00CD64B5">
        <w:rPr>
          <w:rFonts w:ascii="Arial" w:hAnsi="Arial"/>
          <w:sz w:val="24"/>
          <w:szCs w:val="24"/>
        </w:rPr>
        <w:t xml:space="preserve"> 2016 Dec 20. PMID: 27995946.</w:t>
      </w:r>
    </w:p>
    <w:p w14:paraId="45704085" w14:textId="77777777" w:rsidR="001405AD" w:rsidRPr="00CD64B5" w:rsidRDefault="001405AD" w:rsidP="001405AD">
      <w:pPr>
        <w:pStyle w:val="Prrafodelista"/>
        <w:numPr>
          <w:ilvl w:val="0"/>
          <w:numId w:val="4"/>
        </w:numPr>
        <w:spacing w:after="160" w:line="360" w:lineRule="auto"/>
        <w:jc w:val="both"/>
        <w:rPr>
          <w:rFonts w:ascii="Arial" w:hAnsi="Arial"/>
          <w:sz w:val="24"/>
          <w:szCs w:val="24"/>
          <w:lang w:val="es-US"/>
        </w:rPr>
      </w:pPr>
      <w:r w:rsidRPr="00CD64B5">
        <w:rPr>
          <w:rFonts w:ascii="Arial" w:hAnsi="Arial"/>
          <w:sz w:val="24"/>
          <w:szCs w:val="24"/>
          <w:lang w:val="es-US"/>
        </w:rPr>
        <w:lastRenderedPageBreak/>
        <w:t xml:space="preserve">González- </w:t>
      </w:r>
      <w:proofErr w:type="spellStart"/>
      <w:r w:rsidRPr="00CD64B5">
        <w:rPr>
          <w:rFonts w:ascii="Arial" w:hAnsi="Arial"/>
          <w:sz w:val="24"/>
          <w:szCs w:val="24"/>
          <w:lang w:val="es-US"/>
        </w:rPr>
        <w:t>Müler</w:t>
      </w:r>
      <w:proofErr w:type="spellEnd"/>
      <w:r w:rsidRPr="00CD64B5">
        <w:rPr>
          <w:rFonts w:ascii="Arial" w:hAnsi="Arial"/>
          <w:sz w:val="24"/>
          <w:szCs w:val="24"/>
          <w:lang w:val="es-US"/>
        </w:rPr>
        <w:t xml:space="preserve"> C. Características patológicas asociadas al carcinoma de mama Her-2 positivo. </w:t>
      </w:r>
      <w:proofErr w:type="spellStart"/>
      <w:r w:rsidRPr="00CD64B5">
        <w:rPr>
          <w:rFonts w:ascii="Arial" w:hAnsi="Arial"/>
          <w:sz w:val="24"/>
          <w:szCs w:val="24"/>
          <w:lang w:val="es-US"/>
        </w:rPr>
        <w:t>An</w:t>
      </w:r>
      <w:proofErr w:type="spellEnd"/>
      <w:r w:rsidRPr="00CD64B5">
        <w:rPr>
          <w:rFonts w:ascii="Arial" w:hAnsi="Arial"/>
          <w:sz w:val="24"/>
          <w:szCs w:val="24"/>
          <w:lang w:val="es-US"/>
        </w:rPr>
        <w:t xml:space="preserve">. </w:t>
      </w:r>
      <w:proofErr w:type="spellStart"/>
      <w:r w:rsidRPr="00CD64B5">
        <w:rPr>
          <w:rFonts w:ascii="Arial" w:hAnsi="Arial"/>
          <w:sz w:val="24"/>
          <w:szCs w:val="24"/>
          <w:lang w:val="es-US"/>
        </w:rPr>
        <w:t>Fac</w:t>
      </w:r>
      <w:proofErr w:type="spellEnd"/>
      <w:r w:rsidRPr="00CD64B5">
        <w:rPr>
          <w:rFonts w:ascii="Arial" w:hAnsi="Arial"/>
          <w:sz w:val="24"/>
          <w:szCs w:val="24"/>
          <w:lang w:val="es-US"/>
        </w:rPr>
        <w:t xml:space="preserve">. </w:t>
      </w:r>
      <w:proofErr w:type="spellStart"/>
      <w:r w:rsidRPr="00CD64B5">
        <w:rPr>
          <w:rFonts w:ascii="Arial" w:hAnsi="Arial"/>
          <w:sz w:val="24"/>
          <w:szCs w:val="24"/>
          <w:lang w:val="es-US"/>
        </w:rPr>
        <w:t>med</w:t>
      </w:r>
      <w:proofErr w:type="spellEnd"/>
      <w:r w:rsidRPr="00CD64B5">
        <w:rPr>
          <w:rFonts w:ascii="Arial" w:hAnsi="Arial"/>
          <w:sz w:val="24"/>
          <w:szCs w:val="24"/>
          <w:lang w:val="es-US"/>
        </w:rPr>
        <w:t xml:space="preserve"> (Internet). 2005 </w:t>
      </w:r>
      <w:proofErr w:type="gramStart"/>
      <w:r w:rsidRPr="00CD64B5">
        <w:rPr>
          <w:rFonts w:ascii="Arial" w:hAnsi="Arial"/>
          <w:sz w:val="24"/>
          <w:szCs w:val="24"/>
          <w:lang w:val="es-US"/>
        </w:rPr>
        <w:t>Jun</w:t>
      </w:r>
      <w:proofErr w:type="gramEnd"/>
      <w:r w:rsidRPr="00CD64B5">
        <w:rPr>
          <w:rFonts w:ascii="Arial" w:hAnsi="Arial"/>
          <w:sz w:val="24"/>
          <w:szCs w:val="24"/>
          <w:lang w:val="es-US"/>
        </w:rPr>
        <w:t xml:space="preserve"> (citado 19 octubre 2020); 66(2): 89-99. Disponible en: </w:t>
      </w:r>
      <w:hyperlink r:id="rId26" w:history="1">
        <w:r w:rsidR="0005699B" w:rsidRPr="00EA12A0">
          <w:rPr>
            <w:rStyle w:val="Hipervnculo"/>
            <w:rFonts w:ascii="Arial" w:hAnsi="Arial"/>
            <w:sz w:val="24"/>
            <w:szCs w:val="24"/>
            <w:lang w:val="es-US"/>
          </w:rPr>
          <w:t>http://www.scielo.org.pe/scielo.php?script=aci_arttext&amp;pid=S1025-55832005000200002&amp;Ing=es</w:t>
        </w:r>
      </w:hyperlink>
    </w:p>
    <w:p w14:paraId="7E681497"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1405AD">
        <w:rPr>
          <w:rFonts w:ascii="Arial" w:hAnsi="Arial"/>
          <w:sz w:val="24"/>
          <w:szCs w:val="24"/>
          <w:lang w:val="es-US"/>
        </w:rPr>
        <w:t xml:space="preserve">Esparza Ortega, M.A; Tapia Calvopiña, M.P. Determinación de marcadores tumorales por Inmunohistoquímica en muestras histopatológicas de pacientes con diagnóstico de Cáncer de Mama durante el periodo 2014-2017 en el Hospital San Francisco de Quito. </w:t>
      </w:r>
      <w:r w:rsidRPr="00CD64B5">
        <w:rPr>
          <w:rFonts w:ascii="Arial" w:hAnsi="Arial"/>
          <w:sz w:val="24"/>
          <w:szCs w:val="24"/>
        </w:rPr>
        <w:t>Ecuador, 2019.</w:t>
      </w:r>
    </w:p>
    <w:p w14:paraId="79EAE2BB" w14:textId="77777777" w:rsidR="001405AD" w:rsidRPr="00CD64B5" w:rsidRDefault="001405AD" w:rsidP="001405AD">
      <w:pPr>
        <w:pStyle w:val="Prrafodelista"/>
        <w:numPr>
          <w:ilvl w:val="0"/>
          <w:numId w:val="4"/>
        </w:numPr>
        <w:spacing w:after="160" w:line="360" w:lineRule="auto"/>
        <w:jc w:val="both"/>
        <w:rPr>
          <w:rFonts w:ascii="Arial" w:hAnsi="Arial"/>
          <w:sz w:val="24"/>
          <w:szCs w:val="24"/>
        </w:rPr>
      </w:pPr>
      <w:r w:rsidRPr="00CD64B5">
        <w:rPr>
          <w:rFonts w:ascii="Arial" w:hAnsi="Arial"/>
          <w:sz w:val="24"/>
          <w:szCs w:val="24"/>
        </w:rPr>
        <w:t xml:space="preserve">Howlader N, Cronin KA, Kurian AW, </w:t>
      </w:r>
      <w:proofErr w:type="spellStart"/>
      <w:r w:rsidRPr="00CD64B5">
        <w:rPr>
          <w:rFonts w:ascii="Arial" w:hAnsi="Arial"/>
          <w:sz w:val="24"/>
          <w:szCs w:val="24"/>
        </w:rPr>
        <w:t>Andridge</w:t>
      </w:r>
      <w:proofErr w:type="spellEnd"/>
      <w:r w:rsidRPr="00CD64B5">
        <w:rPr>
          <w:rFonts w:ascii="Arial" w:hAnsi="Arial"/>
          <w:sz w:val="24"/>
          <w:szCs w:val="24"/>
        </w:rPr>
        <w:t xml:space="preserve"> R. Differences in Breast Cancer Survival by Molecular Subtypes in the United States. Cancer Epidemiol Biomarkers Prev. </w:t>
      </w:r>
      <w:proofErr w:type="gramStart"/>
      <w:r w:rsidRPr="00CD64B5">
        <w:rPr>
          <w:rFonts w:ascii="Arial" w:hAnsi="Arial"/>
          <w:sz w:val="24"/>
          <w:szCs w:val="24"/>
        </w:rPr>
        <w:t>2018;28:28</w:t>
      </w:r>
      <w:proofErr w:type="gramEnd"/>
      <w:r w:rsidRPr="00CD64B5">
        <w:rPr>
          <w:rFonts w:ascii="Arial" w:hAnsi="Arial"/>
          <w:sz w:val="24"/>
          <w:szCs w:val="24"/>
        </w:rPr>
        <w:t>.</w:t>
      </w:r>
    </w:p>
    <w:p w14:paraId="1222D0F8" w14:textId="47748252" w:rsidR="00A309F6" w:rsidRPr="00A309F6" w:rsidRDefault="001405AD" w:rsidP="00A309F6">
      <w:pPr>
        <w:pStyle w:val="Prrafodelista"/>
        <w:numPr>
          <w:ilvl w:val="0"/>
          <w:numId w:val="4"/>
        </w:numPr>
        <w:spacing w:after="160" w:line="360" w:lineRule="auto"/>
        <w:jc w:val="both"/>
        <w:rPr>
          <w:rFonts w:ascii="Arial" w:hAnsi="Arial"/>
          <w:sz w:val="24"/>
          <w:szCs w:val="24"/>
        </w:rPr>
      </w:pPr>
      <w:r w:rsidRPr="001405AD">
        <w:rPr>
          <w:rFonts w:ascii="Arial" w:hAnsi="Arial"/>
          <w:sz w:val="24"/>
          <w:szCs w:val="24"/>
          <w:lang w:val="es-US"/>
        </w:rPr>
        <w:t>Palacios J., Matías-</w:t>
      </w:r>
      <w:proofErr w:type="spellStart"/>
      <w:r w:rsidRPr="001405AD">
        <w:rPr>
          <w:rFonts w:ascii="Arial" w:hAnsi="Arial"/>
          <w:sz w:val="24"/>
          <w:szCs w:val="24"/>
          <w:lang w:val="es-US"/>
        </w:rPr>
        <w:t>Guiu</w:t>
      </w:r>
      <w:proofErr w:type="spellEnd"/>
      <w:r w:rsidRPr="001405AD">
        <w:rPr>
          <w:rFonts w:ascii="Arial" w:hAnsi="Arial"/>
          <w:sz w:val="24"/>
          <w:szCs w:val="24"/>
          <w:lang w:val="es-US"/>
        </w:rPr>
        <w:t xml:space="preserve"> X., Rodríguez-Peralto J. L., Retos e implicaciones clínicas de la heterogeneidad intratumoral. </w:t>
      </w:r>
      <w:proofErr w:type="spellStart"/>
      <w:r w:rsidRPr="00CD64B5">
        <w:rPr>
          <w:rFonts w:ascii="Arial" w:hAnsi="Arial"/>
          <w:sz w:val="24"/>
          <w:szCs w:val="24"/>
        </w:rPr>
        <w:t>Revista</w:t>
      </w:r>
      <w:proofErr w:type="spellEnd"/>
      <w:r w:rsidRPr="00CD64B5">
        <w:rPr>
          <w:rFonts w:ascii="Arial" w:hAnsi="Arial"/>
          <w:sz w:val="24"/>
          <w:szCs w:val="24"/>
        </w:rPr>
        <w:t xml:space="preserve"> Española de </w:t>
      </w:r>
      <w:proofErr w:type="spellStart"/>
      <w:r w:rsidRPr="00CD64B5">
        <w:rPr>
          <w:rFonts w:ascii="Arial" w:hAnsi="Arial"/>
          <w:sz w:val="24"/>
          <w:szCs w:val="24"/>
        </w:rPr>
        <w:t>Patología</w:t>
      </w:r>
      <w:proofErr w:type="spellEnd"/>
      <w:r w:rsidRPr="00CD64B5">
        <w:rPr>
          <w:rFonts w:ascii="Arial" w:hAnsi="Arial"/>
          <w:sz w:val="24"/>
          <w:szCs w:val="24"/>
        </w:rPr>
        <w:t xml:space="preserve">. 2019; 52(4):234-241. </w:t>
      </w:r>
      <w:hyperlink r:id="rId27" w:history="1">
        <w:r w:rsidR="0005699B" w:rsidRPr="00EA12A0">
          <w:rPr>
            <w:rStyle w:val="Hipervnculo"/>
            <w:rFonts w:ascii="Arial" w:hAnsi="Arial"/>
            <w:sz w:val="24"/>
            <w:szCs w:val="24"/>
          </w:rPr>
          <w:t>https://doi.org/10.1016/j.patol.2019.04.004</w:t>
        </w:r>
      </w:hyperlink>
    </w:p>
    <w:p w14:paraId="310AAF92" w14:textId="77777777" w:rsidR="00A309F6" w:rsidRPr="00A309F6" w:rsidRDefault="00A309F6" w:rsidP="00A309F6">
      <w:pPr>
        <w:spacing w:before="240" w:after="0" w:line="360" w:lineRule="auto"/>
        <w:jc w:val="both"/>
        <w:rPr>
          <w:rFonts w:ascii="Arial" w:hAnsi="Arial"/>
          <w:b/>
          <w:bCs/>
          <w:sz w:val="24"/>
          <w:szCs w:val="24"/>
          <w:lang w:val="es-US"/>
        </w:rPr>
      </w:pPr>
      <w:r w:rsidRPr="00A309F6">
        <w:rPr>
          <w:rFonts w:ascii="Arial" w:hAnsi="Arial"/>
          <w:b/>
          <w:bCs/>
          <w:sz w:val="24"/>
          <w:szCs w:val="24"/>
          <w:lang w:val="es-US"/>
        </w:rPr>
        <w:t>Conflictos de intereses</w:t>
      </w:r>
    </w:p>
    <w:p w14:paraId="01FE4C45" w14:textId="77777777" w:rsidR="00A309F6" w:rsidRPr="00A309F6" w:rsidRDefault="00A309F6" w:rsidP="00A309F6">
      <w:pPr>
        <w:spacing w:before="240" w:after="0" w:line="360" w:lineRule="auto"/>
        <w:jc w:val="both"/>
        <w:rPr>
          <w:rFonts w:ascii="Arial" w:hAnsi="Arial"/>
          <w:sz w:val="24"/>
          <w:szCs w:val="24"/>
          <w:lang w:val="es-US"/>
        </w:rPr>
      </w:pPr>
      <w:r w:rsidRPr="00A309F6">
        <w:rPr>
          <w:rFonts w:ascii="Arial" w:hAnsi="Arial"/>
          <w:sz w:val="24"/>
          <w:szCs w:val="24"/>
          <w:lang w:val="es-US"/>
        </w:rPr>
        <w:t>Los autores declaran la ausencia de conflicto de intereses.</w:t>
      </w:r>
    </w:p>
    <w:p w14:paraId="13C0B532" w14:textId="77777777" w:rsidR="00A309F6" w:rsidRPr="00A309F6" w:rsidRDefault="00A309F6" w:rsidP="00A309F6">
      <w:pPr>
        <w:spacing w:before="240" w:after="0" w:line="360" w:lineRule="auto"/>
        <w:jc w:val="both"/>
        <w:rPr>
          <w:rFonts w:ascii="Arial" w:hAnsi="Arial"/>
          <w:b/>
          <w:bCs/>
          <w:sz w:val="24"/>
          <w:szCs w:val="24"/>
          <w:lang w:val="es-US"/>
        </w:rPr>
      </w:pPr>
      <w:r w:rsidRPr="00A309F6">
        <w:rPr>
          <w:rFonts w:ascii="Arial" w:hAnsi="Arial"/>
          <w:b/>
          <w:bCs/>
          <w:sz w:val="24"/>
          <w:szCs w:val="24"/>
          <w:lang w:val="es-US"/>
        </w:rPr>
        <w:t>Contribución de autoría</w:t>
      </w:r>
    </w:p>
    <w:p w14:paraId="62F3EAE3" w14:textId="77777777" w:rsidR="00A309F6" w:rsidRPr="00A309F6" w:rsidRDefault="00A309F6" w:rsidP="00A309F6">
      <w:pPr>
        <w:spacing w:before="240" w:after="0" w:line="360" w:lineRule="auto"/>
        <w:jc w:val="both"/>
        <w:rPr>
          <w:rFonts w:ascii="Arial" w:hAnsi="Arial"/>
          <w:sz w:val="24"/>
          <w:szCs w:val="24"/>
          <w:lang w:val="es-US"/>
        </w:rPr>
      </w:pPr>
      <w:r w:rsidRPr="00A309F6">
        <w:rPr>
          <w:rFonts w:ascii="Arial" w:hAnsi="Arial"/>
          <w:sz w:val="24"/>
          <w:szCs w:val="24"/>
          <w:lang w:val="es-US"/>
        </w:rPr>
        <w:t>Luis Enrique Curbelo-Gutiérrez: conceptualización, curación de datos, investigación y redacción del borrador original.</w:t>
      </w:r>
    </w:p>
    <w:p w14:paraId="4286E3A3" w14:textId="2980BA18" w:rsidR="00A309F6" w:rsidRPr="00A309F6" w:rsidRDefault="00A309F6" w:rsidP="00A309F6">
      <w:pPr>
        <w:spacing w:before="240" w:after="0" w:line="360" w:lineRule="auto"/>
        <w:jc w:val="both"/>
        <w:rPr>
          <w:rFonts w:ascii="Arial" w:hAnsi="Arial"/>
          <w:sz w:val="24"/>
          <w:szCs w:val="24"/>
          <w:lang w:val="es-US"/>
        </w:rPr>
      </w:pPr>
      <w:r>
        <w:rPr>
          <w:rFonts w:ascii="Arial" w:hAnsi="Arial"/>
          <w:sz w:val="24"/>
          <w:szCs w:val="24"/>
          <w:lang w:val="es-US"/>
        </w:rPr>
        <w:t>Mildrey García</w:t>
      </w:r>
      <w:r w:rsidRPr="00A309F6">
        <w:rPr>
          <w:rFonts w:ascii="Arial" w:hAnsi="Arial"/>
          <w:sz w:val="24"/>
          <w:szCs w:val="24"/>
          <w:lang w:val="es-US"/>
        </w:rPr>
        <w:t>-</w:t>
      </w:r>
      <w:r>
        <w:rPr>
          <w:rFonts w:ascii="Arial" w:hAnsi="Arial"/>
          <w:sz w:val="24"/>
          <w:szCs w:val="24"/>
          <w:lang w:val="es-US"/>
        </w:rPr>
        <w:t>Hernández</w:t>
      </w:r>
      <w:r w:rsidRPr="00A309F6">
        <w:rPr>
          <w:rFonts w:ascii="Arial" w:hAnsi="Arial"/>
          <w:sz w:val="24"/>
          <w:szCs w:val="24"/>
          <w:lang w:val="es-US"/>
        </w:rPr>
        <w:t>: conceptualización, curación de datos, investigación y supervisión.</w:t>
      </w:r>
    </w:p>
    <w:p w14:paraId="4BD7CC37" w14:textId="56F709F3" w:rsidR="00A309F6" w:rsidRPr="00A309F6" w:rsidRDefault="00A309F6" w:rsidP="00A309F6">
      <w:pPr>
        <w:spacing w:before="240" w:after="0" w:line="360" w:lineRule="auto"/>
        <w:jc w:val="both"/>
        <w:rPr>
          <w:rFonts w:ascii="Arial" w:hAnsi="Arial"/>
          <w:sz w:val="24"/>
          <w:szCs w:val="24"/>
          <w:lang w:val="es-US"/>
        </w:rPr>
      </w:pPr>
      <w:r>
        <w:rPr>
          <w:rFonts w:ascii="Arial" w:hAnsi="Arial"/>
          <w:sz w:val="24"/>
          <w:szCs w:val="24"/>
          <w:lang w:val="es-US"/>
        </w:rPr>
        <w:t>Álvaro Pérez-Arencibia</w:t>
      </w:r>
      <w:r w:rsidRPr="00A309F6">
        <w:rPr>
          <w:rFonts w:ascii="Arial" w:hAnsi="Arial"/>
          <w:sz w:val="24"/>
          <w:szCs w:val="24"/>
          <w:lang w:val="es-US"/>
        </w:rPr>
        <w:t>: análisis formal y metodología</w:t>
      </w:r>
    </w:p>
    <w:p w14:paraId="30C23851" w14:textId="7A1F0DA6" w:rsidR="00A309F6" w:rsidRPr="00A309F6" w:rsidRDefault="00A309F6" w:rsidP="00A309F6">
      <w:pPr>
        <w:spacing w:before="240" w:after="0" w:line="360" w:lineRule="auto"/>
        <w:jc w:val="both"/>
        <w:rPr>
          <w:rFonts w:ascii="Arial" w:hAnsi="Arial"/>
          <w:sz w:val="24"/>
          <w:szCs w:val="24"/>
          <w:lang w:val="es-US"/>
        </w:rPr>
      </w:pPr>
      <w:proofErr w:type="spellStart"/>
      <w:r>
        <w:rPr>
          <w:rFonts w:ascii="Arial" w:hAnsi="Arial"/>
          <w:sz w:val="24"/>
          <w:szCs w:val="24"/>
          <w:lang w:val="es-US"/>
        </w:rPr>
        <w:t>Edadny</w:t>
      </w:r>
      <w:proofErr w:type="spellEnd"/>
      <w:r w:rsidRPr="00A309F6">
        <w:rPr>
          <w:rFonts w:ascii="Arial" w:hAnsi="Arial"/>
          <w:sz w:val="24"/>
          <w:szCs w:val="24"/>
          <w:lang w:val="es-US"/>
        </w:rPr>
        <w:t xml:space="preserve"> Medina</w:t>
      </w:r>
      <w:r>
        <w:rPr>
          <w:rFonts w:ascii="Arial" w:hAnsi="Arial"/>
          <w:sz w:val="24"/>
          <w:szCs w:val="24"/>
          <w:lang w:val="es-US"/>
        </w:rPr>
        <w:t>-</w:t>
      </w:r>
      <w:r w:rsidRPr="00A309F6">
        <w:rPr>
          <w:rFonts w:ascii="Arial" w:hAnsi="Arial"/>
          <w:sz w:val="24"/>
          <w:szCs w:val="24"/>
          <w:lang w:val="es-US"/>
        </w:rPr>
        <w:t>Carabeo: revisión</w:t>
      </w:r>
      <w:r>
        <w:rPr>
          <w:rFonts w:ascii="Arial" w:hAnsi="Arial"/>
          <w:sz w:val="24"/>
          <w:szCs w:val="24"/>
          <w:lang w:val="es-US"/>
        </w:rPr>
        <w:t xml:space="preserve">, </w:t>
      </w:r>
      <w:r w:rsidRPr="00A309F6">
        <w:rPr>
          <w:rFonts w:ascii="Arial" w:hAnsi="Arial"/>
          <w:sz w:val="24"/>
          <w:szCs w:val="24"/>
          <w:lang w:val="es-US"/>
        </w:rPr>
        <w:t>edición</w:t>
      </w:r>
      <w:r>
        <w:rPr>
          <w:rFonts w:ascii="Arial" w:hAnsi="Arial"/>
          <w:sz w:val="24"/>
          <w:szCs w:val="24"/>
          <w:lang w:val="es-US"/>
        </w:rPr>
        <w:t xml:space="preserve"> y validación.</w:t>
      </w:r>
    </w:p>
    <w:p w14:paraId="16FADD5B" w14:textId="77777777" w:rsidR="00A309F6" w:rsidRPr="00A309F6" w:rsidRDefault="00A309F6" w:rsidP="00A309F6">
      <w:pPr>
        <w:spacing w:after="160" w:line="360" w:lineRule="auto"/>
        <w:jc w:val="both"/>
        <w:rPr>
          <w:rFonts w:ascii="Arial" w:hAnsi="Arial"/>
          <w:sz w:val="24"/>
          <w:szCs w:val="24"/>
          <w:lang w:val="es-US"/>
        </w:rPr>
      </w:pPr>
    </w:p>
    <w:sectPr w:rsidR="00A309F6" w:rsidRPr="00A309F6" w:rsidSect="00E579C8">
      <w:footerReference w:type="default" r:id="rId2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03D6" w14:textId="77777777" w:rsidR="00146E98" w:rsidRDefault="00146E98" w:rsidP="001F241F">
      <w:pPr>
        <w:spacing w:after="0" w:line="240" w:lineRule="auto"/>
      </w:pPr>
      <w:r>
        <w:separator/>
      </w:r>
    </w:p>
  </w:endnote>
  <w:endnote w:type="continuationSeparator" w:id="0">
    <w:p w14:paraId="35555520" w14:textId="77777777" w:rsidR="00146E98" w:rsidRDefault="00146E98" w:rsidP="001F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594645"/>
      <w:docPartObj>
        <w:docPartGallery w:val="Page Numbers (Bottom of Page)"/>
        <w:docPartUnique/>
      </w:docPartObj>
    </w:sdtPr>
    <w:sdtEndPr/>
    <w:sdtContent>
      <w:p w14:paraId="1A1B1CCC" w14:textId="0CCAEABE" w:rsidR="001F241F" w:rsidRDefault="001F241F">
        <w:pPr>
          <w:pStyle w:val="Piedepgina"/>
          <w:jc w:val="right"/>
        </w:pPr>
        <w:r>
          <w:fldChar w:fldCharType="begin"/>
        </w:r>
        <w:r>
          <w:instrText>PAGE   \* MERGEFORMAT</w:instrText>
        </w:r>
        <w:r>
          <w:fldChar w:fldCharType="separate"/>
        </w:r>
        <w:r>
          <w:rPr>
            <w:lang w:val="es-ES"/>
          </w:rPr>
          <w:t>2</w:t>
        </w:r>
        <w:r>
          <w:fldChar w:fldCharType="end"/>
        </w:r>
      </w:p>
    </w:sdtContent>
  </w:sdt>
  <w:p w14:paraId="45291539" w14:textId="77777777" w:rsidR="001F241F" w:rsidRDefault="001F24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BD99" w14:textId="77777777" w:rsidR="00146E98" w:rsidRDefault="00146E98" w:rsidP="001F241F">
      <w:pPr>
        <w:spacing w:after="0" w:line="240" w:lineRule="auto"/>
      </w:pPr>
      <w:r>
        <w:separator/>
      </w:r>
    </w:p>
  </w:footnote>
  <w:footnote w:type="continuationSeparator" w:id="0">
    <w:p w14:paraId="0BA2805C" w14:textId="77777777" w:rsidR="00146E98" w:rsidRDefault="00146E98" w:rsidP="001F2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8BE"/>
    <w:multiLevelType w:val="hybridMultilevel"/>
    <w:tmpl w:val="CA244A16"/>
    <w:lvl w:ilvl="0" w:tplc="94E216E8">
      <w:start w:val="1"/>
      <w:numFmt w:val="decimal"/>
      <w:lvlText w:val="%1-"/>
      <w:lvlJc w:val="left"/>
      <w:pPr>
        <w:ind w:left="360" w:hanging="360"/>
      </w:pPr>
      <w:rPr>
        <w:rFonts w:hint="default"/>
        <w:vertAlign w:val="superscrip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 w15:restartNumberingAfterBreak="0">
    <w:nsid w:val="5DA60453"/>
    <w:multiLevelType w:val="hybridMultilevel"/>
    <w:tmpl w:val="2278ADE0"/>
    <w:lvl w:ilvl="0" w:tplc="1BB411B2">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 w15:restartNumberingAfterBreak="0">
    <w:nsid w:val="64EE4347"/>
    <w:multiLevelType w:val="hybridMultilevel"/>
    <w:tmpl w:val="0004D4E8"/>
    <w:lvl w:ilvl="0" w:tplc="3DFC6376">
      <w:start w:val="1"/>
      <w:numFmt w:val="decimal"/>
      <w:lvlText w:val="%1-"/>
      <w:lvlJc w:val="left"/>
      <w:pPr>
        <w:ind w:left="36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7CA65106"/>
    <w:multiLevelType w:val="hybridMultilevel"/>
    <w:tmpl w:val="C71C0CBA"/>
    <w:lvl w:ilvl="0" w:tplc="860AD44A">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16cid:durableId="1625575165">
    <w:abstractNumId w:val="3"/>
  </w:num>
  <w:num w:numId="2" w16cid:durableId="1994334423">
    <w:abstractNumId w:val="1"/>
  </w:num>
  <w:num w:numId="3" w16cid:durableId="1548833276">
    <w:abstractNumId w:val="0"/>
  </w:num>
  <w:num w:numId="4" w16cid:durableId="52796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B57"/>
    <w:rsid w:val="00030D5C"/>
    <w:rsid w:val="00056938"/>
    <w:rsid w:val="0005699B"/>
    <w:rsid w:val="0006711A"/>
    <w:rsid w:val="00082C76"/>
    <w:rsid w:val="00094AD2"/>
    <w:rsid w:val="000C3019"/>
    <w:rsid w:val="001342F3"/>
    <w:rsid w:val="001405AD"/>
    <w:rsid w:val="00146E98"/>
    <w:rsid w:val="00184393"/>
    <w:rsid w:val="001F241F"/>
    <w:rsid w:val="00211D07"/>
    <w:rsid w:val="00257D39"/>
    <w:rsid w:val="002A388C"/>
    <w:rsid w:val="003532E4"/>
    <w:rsid w:val="00386410"/>
    <w:rsid w:val="00390962"/>
    <w:rsid w:val="00420B51"/>
    <w:rsid w:val="00430558"/>
    <w:rsid w:val="004B20BD"/>
    <w:rsid w:val="004B4C19"/>
    <w:rsid w:val="004C3189"/>
    <w:rsid w:val="005309EF"/>
    <w:rsid w:val="00540B1E"/>
    <w:rsid w:val="00587A06"/>
    <w:rsid w:val="005E3DA0"/>
    <w:rsid w:val="005E6150"/>
    <w:rsid w:val="006330BD"/>
    <w:rsid w:val="00635C09"/>
    <w:rsid w:val="0066702A"/>
    <w:rsid w:val="006747DD"/>
    <w:rsid w:val="00693A66"/>
    <w:rsid w:val="006A39CF"/>
    <w:rsid w:val="00741422"/>
    <w:rsid w:val="00772DE6"/>
    <w:rsid w:val="007A1764"/>
    <w:rsid w:val="007F793A"/>
    <w:rsid w:val="00884F2D"/>
    <w:rsid w:val="008932D9"/>
    <w:rsid w:val="008D3408"/>
    <w:rsid w:val="008F3539"/>
    <w:rsid w:val="009408BD"/>
    <w:rsid w:val="009675A3"/>
    <w:rsid w:val="00A02B21"/>
    <w:rsid w:val="00A309F6"/>
    <w:rsid w:val="00A41441"/>
    <w:rsid w:val="00B15B57"/>
    <w:rsid w:val="00B34064"/>
    <w:rsid w:val="00B34F32"/>
    <w:rsid w:val="00B71C5C"/>
    <w:rsid w:val="00BD5F4F"/>
    <w:rsid w:val="00BE2529"/>
    <w:rsid w:val="00C305AC"/>
    <w:rsid w:val="00C44284"/>
    <w:rsid w:val="00CF7601"/>
    <w:rsid w:val="00D16C5C"/>
    <w:rsid w:val="00E1349F"/>
    <w:rsid w:val="00E34353"/>
    <w:rsid w:val="00E571E8"/>
    <w:rsid w:val="00E579C8"/>
    <w:rsid w:val="00E95C16"/>
    <w:rsid w:val="00F358AA"/>
    <w:rsid w:val="00F83F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7B09"/>
  <w15:docId w15:val="{8D309070-08CE-4150-A53F-E6D08BC3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1E"/>
    <w:pPr>
      <w:spacing w:after="200" w:line="276" w:lineRule="auto"/>
    </w:pPr>
    <w:rPr>
      <w:rFonts w:ascii="Calibri" w:eastAsia="Calibri" w:hAnsi="Calibri"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40B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0B1E"/>
    <w:rPr>
      <w:rFonts w:asciiTheme="majorHAnsi" w:eastAsiaTheme="majorEastAsia" w:hAnsiTheme="majorHAnsi" w:cstheme="majorBidi"/>
      <w:spacing w:val="-10"/>
      <w:kern w:val="28"/>
      <w:sz w:val="56"/>
      <w:szCs w:val="56"/>
      <w:lang w:val="en-US"/>
    </w:rPr>
  </w:style>
  <w:style w:type="paragraph" w:styleId="Prrafodelista">
    <w:name w:val="List Paragraph"/>
    <w:basedOn w:val="Normal"/>
    <w:uiPriority w:val="34"/>
    <w:qFormat/>
    <w:rsid w:val="00540B1E"/>
    <w:pPr>
      <w:ind w:left="720"/>
      <w:contextualSpacing/>
    </w:pPr>
  </w:style>
  <w:style w:type="character" w:styleId="Hipervnculo">
    <w:name w:val="Hyperlink"/>
    <w:basedOn w:val="Fuentedeprrafopredeter"/>
    <w:uiPriority w:val="99"/>
    <w:unhideWhenUsed/>
    <w:rsid w:val="00540B1E"/>
    <w:rPr>
      <w:color w:val="0563C1" w:themeColor="hyperlink"/>
      <w:u w:val="single"/>
    </w:rPr>
  </w:style>
  <w:style w:type="character" w:customStyle="1" w:styleId="Mencinsinresolver1">
    <w:name w:val="Mención sin resolver1"/>
    <w:basedOn w:val="Fuentedeprrafopredeter"/>
    <w:uiPriority w:val="99"/>
    <w:semiHidden/>
    <w:unhideWhenUsed/>
    <w:rsid w:val="00540B1E"/>
    <w:rPr>
      <w:color w:val="605E5C"/>
      <w:shd w:val="clear" w:color="auto" w:fill="E1DFDD"/>
    </w:rPr>
  </w:style>
  <w:style w:type="table" w:styleId="Tablaconcuadrcula">
    <w:name w:val="Table Grid"/>
    <w:basedOn w:val="Tablanormal"/>
    <w:uiPriority w:val="39"/>
    <w:rsid w:val="00A02B2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4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F2D"/>
    <w:rPr>
      <w:rFonts w:ascii="Tahoma" w:eastAsia="Calibri" w:hAnsi="Tahoma" w:cs="Tahoma"/>
      <w:sz w:val="16"/>
      <w:szCs w:val="16"/>
      <w:lang w:val="en-US"/>
    </w:rPr>
  </w:style>
  <w:style w:type="character" w:styleId="Mencinsinresolver">
    <w:name w:val="Unresolved Mention"/>
    <w:basedOn w:val="Fuentedeprrafopredeter"/>
    <w:uiPriority w:val="99"/>
    <w:semiHidden/>
    <w:unhideWhenUsed/>
    <w:rsid w:val="00B71C5C"/>
    <w:rPr>
      <w:color w:val="605E5C"/>
      <w:shd w:val="clear" w:color="auto" w:fill="E1DFDD"/>
    </w:rPr>
  </w:style>
  <w:style w:type="paragraph" w:styleId="Encabezado">
    <w:name w:val="header"/>
    <w:basedOn w:val="Normal"/>
    <w:link w:val="EncabezadoCar"/>
    <w:uiPriority w:val="99"/>
    <w:unhideWhenUsed/>
    <w:rsid w:val="001F2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41F"/>
    <w:rPr>
      <w:rFonts w:ascii="Calibri" w:eastAsia="Calibri" w:hAnsi="Calibri" w:cs="Arial"/>
      <w:lang w:val="en-US"/>
    </w:rPr>
  </w:style>
  <w:style w:type="paragraph" w:styleId="Piedepgina">
    <w:name w:val="footer"/>
    <w:basedOn w:val="Normal"/>
    <w:link w:val="PiedepginaCar"/>
    <w:uiPriority w:val="99"/>
    <w:unhideWhenUsed/>
    <w:rsid w:val="001F2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41F"/>
    <w:rPr>
      <w:rFonts w:ascii="Calibri" w:eastAsia="Calibri" w:hAnsi="Calibri" w:cs="Arial"/>
      <w:lang w:val="en-US"/>
    </w:rPr>
  </w:style>
  <w:style w:type="character" w:styleId="Refdecomentario">
    <w:name w:val="annotation reference"/>
    <w:basedOn w:val="Fuentedeprrafopredeter"/>
    <w:uiPriority w:val="99"/>
    <w:semiHidden/>
    <w:unhideWhenUsed/>
    <w:rsid w:val="00030D5C"/>
    <w:rPr>
      <w:sz w:val="16"/>
      <w:szCs w:val="16"/>
    </w:rPr>
  </w:style>
  <w:style w:type="paragraph" w:styleId="Textocomentario">
    <w:name w:val="annotation text"/>
    <w:basedOn w:val="Normal"/>
    <w:link w:val="TextocomentarioCar"/>
    <w:uiPriority w:val="99"/>
    <w:semiHidden/>
    <w:unhideWhenUsed/>
    <w:rsid w:val="00030D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0D5C"/>
    <w:rPr>
      <w:rFonts w:ascii="Calibri" w:eastAsia="Calibri" w:hAnsi="Calibri"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030D5C"/>
    <w:rPr>
      <w:b/>
      <w:bCs/>
    </w:rPr>
  </w:style>
  <w:style w:type="character" w:customStyle="1" w:styleId="AsuntodelcomentarioCar">
    <w:name w:val="Asunto del comentario Car"/>
    <w:basedOn w:val="TextocomentarioCar"/>
    <w:link w:val="Asuntodelcomentario"/>
    <w:uiPriority w:val="99"/>
    <w:semiHidden/>
    <w:rsid w:val="00030D5C"/>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2685">
      <w:bodyDiv w:val="1"/>
      <w:marLeft w:val="0"/>
      <w:marRight w:val="0"/>
      <w:marTop w:val="0"/>
      <w:marBottom w:val="0"/>
      <w:divBdr>
        <w:top w:val="none" w:sz="0" w:space="0" w:color="auto"/>
        <w:left w:val="none" w:sz="0" w:space="0" w:color="auto"/>
        <w:bottom w:val="none" w:sz="0" w:space="0" w:color="auto"/>
        <w:right w:val="none" w:sz="0" w:space="0" w:color="auto"/>
      </w:divBdr>
    </w:div>
    <w:div w:id="193733549">
      <w:bodyDiv w:val="1"/>
      <w:marLeft w:val="0"/>
      <w:marRight w:val="0"/>
      <w:marTop w:val="0"/>
      <w:marBottom w:val="0"/>
      <w:divBdr>
        <w:top w:val="none" w:sz="0" w:space="0" w:color="auto"/>
        <w:left w:val="none" w:sz="0" w:space="0" w:color="auto"/>
        <w:bottom w:val="none" w:sz="0" w:space="0" w:color="auto"/>
        <w:right w:val="none" w:sz="0" w:space="0" w:color="auto"/>
      </w:divBdr>
    </w:div>
    <w:div w:id="260533137">
      <w:bodyDiv w:val="1"/>
      <w:marLeft w:val="0"/>
      <w:marRight w:val="0"/>
      <w:marTop w:val="0"/>
      <w:marBottom w:val="0"/>
      <w:divBdr>
        <w:top w:val="none" w:sz="0" w:space="0" w:color="auto"/>
        <w:left w:val="none" w:sz="0" w:space="0" w:color="auto"/>
        <w:bottom w:val="none" w:sz="0" w:space="0" w:color="auto"/>
        <w:right w:val="none" w:sz="0" w:space="0" w:color="auto"/>
      </w:divBdr>
    </w:div>
    <w:div w:id="499546860">
      <w:bodyDiv w:val="1"/>
      <w:marLeft w:val="0"/>
      <w:marRight w:val="0"/>
      <w:marTop w:val="0"/>
      <w:marBottom w:val="0"/>
      <w:divBdr>
        <w:top w:val="none" w:sz="0" w:space="0" w:color="auto"/>
        <w:left w:val="none" w:sz="0" w:space="0" w:color="auto"/>
        <w:bottom w:val="none" w:sz="0" w:space="0" w:color="auto"/>
        <w:right w:val="none" w:sz="0" w:space="0" w:color="auto"/>
      </w:divBdr>
    </w:div>
    <w:div w:id="751120663">
      <w:bodyDiv w:val="1"/>
      <w:marLeft w:val="0"/>
      <w:marRight w:val="0"/>
      <w:marTop w:val="0"/>
      <w:marBottom w:val="0"/>
      <w:divBdr>
        <w:top w:val="none" w:sz="0" w:space="0" w:color="auto"/>
        <w:left w:val="none" w:sz="0" w:space="0" w:color="auto"/>
        <w:bottom w:val="none" w:sz="0" w:space="0" w:color="auto"/>
        <w:right w:val="none" w:sz="0" w:space="0" w:color="auto"/>
      </w:divBdr>
    </w:div>
    <w:div w:id="947156110">
      <w:bodyDiv w:val="1"/>
      <w:marLeft w:val="0"/>
      <w:marRight w:val="0"/>
      <w:marTop w:val="0"/>
      <w:marBottom w:val="0"/>
      <w:divBdr>
        <w:top w:val="none" w:sz="0" w:space="0" w:color="auto"/>
        <w:left w:val="none" w:sz="0" w:space="0" w:color="auto"/>
        <w:bottom w:val="none" w:sz="0" w:space="0" w:color="auto"/>
        <w:right w:val="none" w:sz="0" w:space="0" w:color="auto"/>
      </w:divBdr>
    </w:div>
    <w:div w:id="969936982">
      <w:bodyDiv w:val="1"/>
      <w:marLeft w:val="0"/>
      <w:marRight w:val="0"/>
      <w:marTop w:val="0"/>
      <w:marBottom w:val="0"/>
      <w:divBdr>
        <w:top w:val="none" w:sz="0" w:space="0" w:color="auto"/>
        <w:left w:val="none" w:sz="0" w:space="0" w:color="auto"/>
        <w:bottom w:val="none" w:sz="0" w:space="0" w:color="auto"/>
        <w:right w:val="none" w:sz="0" w:space="0" w:color="auto"/>
      </w:divBdr>
    </w:div>
    <w:div w:id="1132402957">
      <w:bodyDiv w:val="1"/>
      <w:marLeft w:val="0"/>
      <w:marRight w:val="0"/>
      <w:marTop w:val="0"/>
      <w:marBottom w:val="0"/>
      <w:divBdr>
        <w:top w:val="none" w:sz="0" w:space="0" w:color="auto"/>
        <w:left w:val="none" w:sz="0" w:space="0" w:color="auto"/>
        <w:bottom w:val="none" w:sz="0" w:space="0" w:color="auto"/>
        <w:right w:val="none" w:sz="0" w:space="0" w:color="auto"/>
      </w:divBdr>
    </w:div>
    <w:div w:id="1367484461">
      <w:bodyDiv w:val="1"/>
      <w:marLeft w:val="0"/>
      <w:marRight w:val="0"/>
      <w:marTop w:val="0"/>
      <w:marBottom w:val="0"/>
      <w:divBdr>
        <w:top w:val="none" w:sz="0" w:space="0" w:color="auto"/>
        <w:left w:val="none" w:sz="0" w:space="0" w:color="auto"/>
        <w:bottom w:val="none" w:sz="0" w:space="0" w:color="auto"/>
        <w:right w:val="none" w:sz="0" w:space="0" w:color="auto"/>
      </w:divBdr>
    </w:div>
    <w:div w:id="1458601609">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20929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7761-9595" TargetMode="External"/><Relationship Id="rId13" Type="http://schemas.openxmlformats.org/officeDocument/2006/relationships/hyperlink" Target="mailto:oncologia1992@gmail.com" TargetMode="External"/><Relationship Id="rId18" Type="http://schemas.openxmlformats.org/officeDocument/2006/relationships/chart" Target="charts/chart3.xml"/><Relationship Id="rId26" Type="http://schemas.openxmlformats.org/officeDocument/2006/relationships/hyperlink" Target="http://www.scielo.org.pe/scielo.php?script=aci_arttext&amp;pid=S1025-55832005000200002&amp;Ing=es" TargetMode="Externa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1.png"/><Relationship Id="rId12" Type="http://schemas.openxmlformats.org/officeDocument/2006/relationships/hyperlink" Target="http://orcid.org/0000-0002-1127-4598" TargetMode="External"/><Relationship Id="rId17" Type="http://schemas.openxmlformats.org/officeDocument/2006/relationships/chart" Target="charts/chart2.xml"/><Relationship Id="rId25" Type="http://schemas.openxmlformats.org/officeDocument/2006/relationships/hyperlink" Target="http://www.sciencedirect.com/science/article/pii/S000974111630069X"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dreyg.mtz@infomed.sld.cu" TargetMode="External"/><Relationship Id="rId24" Type="http://schemas.openxmlformats.org/officeDocument/2006/relationships/hyperlink" Target="https://www.juntadeandalucia.es/salud/portaldeetica/xhtml/ayuda/verificarFirmaDocumento.iface/code/cf241064284d6c5ec6a605aed5ce489a4cdc5bcd" TargetMode="External"/><Relationship Id="rId5" Type="http://schemas.openxmlformats.org/officeDocument/2006/relationships/footnotes" Target="footnotes.xml"/><Relationship Id="rId15" Type="http://schemas.openxmlformats.org/officeDocument/2006/relationships/hyperlink" Target="mailto:edadny.mtz@infomed.sld.cu" TargetMode="External"/><Relationship Id="rId23" Type="http://schemas.openxmlformats.org/officeDocument/2006/relationships/hyperlink" Target="http://repositorio.umam.edu.ni/4374/1/96863.pdf" TargetMode="External"/><Relationship Id="rId28" Type="http://schemas.openxmlformats.org/officeDocument/2006/relationships/footer" Target="footer1.xml"/><Relationship Id="rId10" Type="http://schemas.openxmlformats.org/officeDocument/2006/relationships/hyperlink" Target="http://orcid.org/0000-0002-7247-1384"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mailto:luis.curbelo@icloud.com" TargetMode="External"/><Relationship Id="rId14" Type="http://schemas.openxmlformats.org/officeDocument/2006/relationships/hyperlink" Target="https://orcid.org/0000-0002-8519-6529" TargetMode="External"/><Relationship Id="rId22" Type="http://schemas.openxmlformats.org/officeDocument/2006/relationships/chart" Target="charts/chart7.xml"/><Relationship Id="rId27" Type="http://schemas.openxmlformats.org/officeDocument/2006/relationships/hyperlink" Target="https://doi.org/10.1016/j.patol.2019.04.004"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Luminal 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Hoja1!$B$2:$B$6</c:f>
              <c:numCache>
                <c:formatCode>General</c:formatCode>
                <c:ptCount val="5"/>
                <c:pt idx="0">
                  <c:v>20</c:v>
                </c:pt>
                <c:pt idx="1">
                  <c:v>37</c:v>
                </c:pt>
                <c:pt idx="2">
                  <c:v>53</c:v>
                </c:pt>
                <c:pt idx="3">
                  <c:v>47</c:v>
                </c:pt>
                <c:pt idx="4">
                  <c:v>38</c:v>
                </c:pt>
              </c:numCache>
            </c:numRef>
          </c:val>
          <c:extLst>
            <c:ext xmlns:c16="http://schemas.microsoft.com/office/drawing/2014/chart" uri="{C3380CC4-5D6E-409C-BE32-E72D297353CC}">
              <c16:uniqueId val="{00000000-F7F6-411A-9CEC-14A9E9302FE9}"/>
            </c:ext>
          </c:extLst>
        </c:ser>
        <c:ser>
          <c:idx val="1"/>
          <c:order val="1"/>
          <c:tx>
            <c:strRef>
              <c:f>Hoja1!$C$1</c:f>
              <c:strCache>
                <c:ptCount val="1"/>
                <c:pt idx="0">
                  <c:v>Luminal B</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Hoja1!$C$2:$C$6</c:f>
              <c:numCache>
                <c:formatCode>General</c:formatCode>
                <c:ptCount val="5"/>
                <c:pt idx="0">
                  <c:v>38</c:v>
                </c:pt>
                <c:pt idx="1">
                  <c:v>47</c:v>
                </c:pt>
                <c:pt idx="2">
                  <c:v>41</c:v>
                </c:pt>
                <c:pt idx="3">
                  <c:v>48</c:v>
                </c:pt>
                <c:pt idx="4">
                  <c:v>48</c:v>
                </c:pt>
              </c:numCache>
            </c:numRef>
          </c:val>
          <c:extLst>
            <c:ext xmlns:c16="http://schemas.microsoft.com/office/drawing/2014/chart" uri="{C3380CC4-5D6E-409C-BE32-E72D297353CC}">
              <c16:uniqueId val="{00000001-F7F6-411A-9CEC-14A9E9302FE9}"/>
            </c:ext>
          </c:extLst>
        </c:ser>
        <c:ser>
          <c:idx val="2"/>
          <c:order val="2"/>
          <c:tx>
            <c:strRef>
              <c:f>Hoja1!$D$1</c:f>
              <c:strCache>
                <c:ptCount val="1"/>
                <c:pt idx="0">
                  <c:v>Luminal B Her2+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Hoja1!$D$2:$D$6</c:f>
              <c:numCache>
                <c:formatCode>General</c:formatCode>
                <c:ptCount val="5"/>
                <c:pt idx="0">
                  <c:v>23</c:v>
                </c:pt>
                <c:pt idx="1">
                  <c:v>8</c:v>
                </c:pt>
                <c:pt idx="2">
                  <c:v>6</c:v>
                </c:pt>
                <c:pt idx="3">
                  <c:v>10</c:v>
                </c:pt>
                <c:pt idx="4">
                  <c:v>11</c:v>
                </c:pt>
              </c:numCache>
            </c:numRef>
          </c:val>
          <c:extLst>
            <c:ext xmlns:c16="http://schemas.microsoft.com/office/drawing/2014/chart" uri="{C3380CC4-5D6E-409C-BE32-E72D297353CC}">
              <c16:uniqueId val="{00000002-F7F6-411A-9CEC-14A9E9302FE9}"/>
            </c:ext>
          </c:extLst>
        </c:ser>
        <c:ser>
          <c:idx val="3"/>
          <c:order val="3"/>
          <c:tx>
            <c:strRef>
              <c:f>Hoja1!$E$1</c:f>
              <c:strCache>
                <c:ptCount val="1"/>
                <c:pt idx="0">
                  <c:v>Her2+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Hoja1!$E$2:$E$6</c:f>
              <c:numCache>
                <c:formatCode>General</c:formatCode>
                <c:ptCount val="5"/>
                <c:pt idx="0">
                  <c:v>13</c:v>
                </c:pt>
                <c:pt idx="1">
                  <c:v>12</c:v>
                </c:pt>
                <c:pt idx="2">
                  <c:v>6</c:v>
                </c:pt>
                <c:pt idx="3">
                  <c:v>11</c:v>
                </c:pt>
                <c:pt idx="4">
                  <c:v>9</c:v>
                </c:pt>
              </c:numCache>
            </c:numRef>
          </c:val>
          <c:extLst>
            <c:ext xmlns:c16="http://schemas.microsoft.com/office/drawing/2014/chart" uri="{C3380CC4-5D6E-409C-BE32-E72D297353CC}">
              <c16:uniqueId val="{00000003-F7F6-411A-9CEC-14A9E9302FE9}"/>
            </c:ext>
          </c:extLst>
        </c:ser>
        <c:ser>
          <c:idx val="4"/>
          <c:order val="4"/>
          <c:tx>
            <c:strRef>
              <c:f>Hoja1!$F$1</c:f>
              <c:strCache>
                <c:ptCount val="1"/>
                <c:pt idx="0">
                  <c:v>TN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Hoja1!$F$2:$F$6</c:f>
              <c:numCache>
                <c:formatCode>General</c:formatCode>
                <c:ptCount val="5"/>
                <c:pt idx="0">
                  <c:v>16</c:v>
                </c:pt>
                <c:pt idx="1">
                  <c:v>13</c:v>
                </c:pt>
                <c:pt idx="2">
                  <c:v>36</c:v>
                </c:pt>
                <c:pt idx="3">
                  <c:v>28</c:v>
                </c:pt>
                <c:pt idx="4">
                  <c:v>26</c:v>
                </c:pt>
              </c:numCache>
            </c:numRef>
          </c:val>
          <c:extLst>
            <c:ext xmlns:c16="http://schemas.microsoft.com/office/drawing/2014/chart" uri="{C3380CC4-5D6E-409C-BE32-E72D297353CC}">
              <c16:uniqueId val="{00000004-F7F6-411A-9CEC-14A9E9302FE9}"/>
            </c:ext>
          </c:extLst>
        </c:ser>
        <c:ser>
          <c:idx val="5"/>
          <c:order val="5"/>
          <c:tx>
            <c:strRef>
              <c:f>Hoja1!$G$1</c:f>
              <c:strCache>
                <c:ptCount val="1"/>
                <c:pt idx="0">
                  <c:v>Desconocido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Hoja1!$G$2:$G$6</c:f>
              <c:numCache>
                <c:formatCode>General</c:formatCode>
                <c:ptCount val="5"/>
                <c:pt idx="0">
                  <c:v>62</c:v>
                </c:pt>
                <c:pt idx="1">
                  <c:v>46</c:v>
                </c:pt>
                <c:pt idx="2">
                  <c:v>62</c:v>
                </c:pt>
                <c:pt idx="3">
                  <c:v>64</c:v>
                </c:pt>
                <c:pt idx="4">
                  <c:v>90</c:v>
                </c:pt>
              </c:numCache>
            </c:numRef>
          </c:val>
          <c:extLst>
            <c:ext xmlns:c16="http://schemas.microsoft.com/office/drawing/2014/chart" uri="{C3380CC4-5D6E-409C-BE32-E72D297353CC}">
              <c16:uniqueId val="{00000005-F7F6-411A-9CEC-14A9E9302FE9}"/>
            </c:ext>
          </c:extLst>
        </c:ser>
        <c:ser>
          <c:idx val="6"/>
          <c:order val="6"/>
          <c:tx>
            <c:strRef>
              <c:f>Hoja1!$H$1</c:f>
              <c:strCache>
                <c:ptCount val="1"/>
                <c:pt idx="0">
                  <c:v>Total</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Hoja1!$A$2:$A$6</c:f>
              <c:numCache>
                <c:formatCode>General</c:formatCode>
                <c:ptCount val="5"/>
                <c:pt idx="0">
                  <c:v>2016</c:v>
                </c:pt>
                <c:pt idx="1">
                  <c:v>2017</c:v>
                </c:pt>
                <c:pt idx="2">
                  <c:v>2018</c:v>
                </c:pt>
                <c:pt idx="3">
                  <c:v>2019</c:v>
                </c:pt>
                <c:pt idx="4">
                  <c:v>2020</c:v>
                </c:pt>
              </c:numCache>
            </c:numRef>
          </c:cat>
          <c:val>
            <c:numRef>
              <c:f>Hoja1!$H$2:$H$6</c:f>
              <c:numCache>
                <c:formatCode>General</c:formatCode>
                <c:ptCount val="5"/>
                <c:pt idx="0">
                  <c:v>172</c:v>
                </c:pt>
                <c:pt idx="1">
                  <c:v>163</c:v>
                </c:pt>
                <c:pt idx="2">
                  <c:v>204</c:v>
                </c:pt>
                <c:pt idx="3">
                  <c:v>208</c:v>
                </c:pt>
                <c:pt idx="4">
                  <c:v>222</c:v>
                </c:pt>
              </c:numCache>
            </c:numRef>
          </c:val>
          <c:extLst>
            <c:ext xmlns:c16="http://schemas.microsoft.com/office/drawing/2014/chart" uri="{C3380CC4-5D6E-409C-BE32-E72D297353CC}">
              <c16:uniqueId val="{00000006-F7F6-411A-9CEC-14A9E9302FE9}"/>
            </c:ext>
          </c:extLst>
        </c:ser>
        <c:dLbls>
          <c:showLegendKey val="0"/>
          <c:showVal val="1"/>
          <c:showCatName val="0"/>
          <c:showSerName val="0"/>
          <c:showPercent val="0"/>
          <c:showBubbleSize val="0"/>
        </c:dLbls>
        <c:gapWidth val="100"/>
        <c:overlap val="-24"/>
        <c:axId val="64612992"/>
        <c:axId val="82569088"/>
      </c:barChart>
      <c:catAx>
        <c:axId val="646129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82569088"/>
        <c:crosses val="autoZero"/>
        <c:auto val="1"/>
        <c:lblAlgn val="ctr"/>
        <c:lblOffset val="100"/>
        <c:noMultiLvlLbl val="0"/>
      </c:catAx>
      <c:valAx>
        <c:axId val="82569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6461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Grupos de edades de </c:v>
                </c:pt>
              </c:strCache>
            </c:strRef>
          </c:tx>
          <c:dPt>
            <c:idx val="0"/>
            <c:bubble3D val="0"/>
            <c:spPr>
              <a:solidFill>
                <a:srgbClr val="FFFF99"/>
              </a:solidFill>
              <a:ln>
                <a:noFill/>
              </a:ln>
              <a:effectLst/>
            </c:spPr>
            <c:extLst>
              <c:ext xmlns:c16="http://schemas.microsoft.com/office/drawing/2014/chart" uri="{C3380CC4-5D6E-409C-BE32-E72D297353CC}">
                <c16:uniqueId val="{00000001-0768-46B9-B1C6-93855AA30CBF}"/>
              </c:ext>
            </c:extLst>
          </c:dPt>
          <c:dPt>
            <c:idx val="1"/>
            <c:bubble3D val="0"/>
            <c:spPr>
              <a:solidFill>
                <a:srgbClr val="FF66FF"/>
              </a:solidFill>
              <a:ln>
                <a:noFill/>
              </a:ln>
              <a:effectLst/>
            </c:spPr>
            <c:extLst>
              <c:ext xmlns:c16="http://schemas.microsoft.com/office/drawing/2014/chart" uri="{C3380CC4-5D6E-409C-BE32-E72D297353CC}">
                <c16:uniqueId val="{00000003-0768-46B9-B1C6-93855AA30CBF}"/>
              </c:ext>
            </c:extLst>
          </c:dPt>
          <c:dPt>
            <c:idx val="2"/>
            <c:bubble3D val="0"/>
            <c:spPr>
              <a:solidFill>
                <a:schemeClr val="accent1"/>
              </a:solidFill>
              <a:ln>
                <a:noFill/>
              </a:ln>
              <a:effectLst/>
            </c:spPr>
            <c:extLst>
              <c:ext xmlns:c16="http://schemas.microsoft.com/office/drawing/2014/chart" uri="{C3380CC4-5D6E-409C-BE32-E72D297353CC}">
                <c16:uniqueId val="{00000005-0768-46B9-B1C6-93855AA30CBF}"/>
              </c:ext>
            </c:extLst>
          </c:dPt>
          <c:dPt>
            <c:idx val="3"/>
            <c:bubble3D val="0"/>
            <c:spPr>
              <a:solidFill>
                <a:srgbClr val="009900"/>
              </a:solidFill>
              <a:ln>
                <a:noFill/>
              </a:ln>
              <a:effectLst/>
            </c:spPr>
            <c:extLst>
              <c:ext xmlns:c16="http://schemas.microsoft.com/office/drawing/2014/chart" uri="{C3380CC4-5D6E-409C-BE32-E72D297353CC}">
                <c16:uniqueId val="{00000007-0768-46B9-B1C6-93855AA30C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Hoja1!$A$2:$A$5</c:f>
              <c:strCache>
                <c:ptCount val="4"/>
                <c:pt idx="0">
                  <c:v>20-39</c:v>
                </c:pt>
                <c:pt idx="1">
                  <c:v>40-59</c:v>
                </c:pt>
                <c:pt idx="2">
                  <c:v>60-79</c:v>
                </c:pt>
                <c:pt idx="3">
                  <c:v>80 y más</c:v>
                </c:pt>
              </c:strCache>
            </c:strRef>
          </c:cat>
          <c:val>
            <c:numRef>
              <c:f>Hoja1!$B$2:$B$5</c:f>
              <c:numCache>
                <c:formatCode>General</c:formatCode>
                <c:ptCount val="4"/>
                <c:pt idx="0">
                  <c:v>9</c:v>
                </c:pt>
                <c:pt idx="1">
                  <c:v>61</c:v>
                </c:pt>
                <c:pt idx="2">
                  <c:v>62</c:v>
                </c:pt>
                <c:pt idx="3">
                  <c:v>5</c:v>
                </c:pt>
              </c:numCache>
            </c:numRef>
          </c:val>
          <c:extLst>
            <c:ext xmlns:c16="http://schemas.microsoft.com/office/drawing/2014/chart" uri="{C3380CC4-5D6E-409C-BE32-E72D297353CC}">
              <c16:uniqueId val="{00000008-0768-46B9-B1C6-93855AA30CB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Tiempo en meses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Menos de 1 mes</c:v>
                </c:pt>
                <c:pt idx="1">
                  <c:v>1-3 meses</c:v>
                </c:pt>
                <c:pt idx="2">
                  <c:v>Más de 3 meses</c:v>
                </c:pt>
                <c:pt idx="3">
                  <c:v>Desconocido</c:v>
                </c:pt>
              </c:strCache>
            </c:strRef>
          </c:cat>
          <c:val>
            <c:numRef>
              <c:f>Hoja1!$B$2:$B$5</c:f>
              <c:numCache>
                <c:formatCode>General</c:formatCode>
                <c:ptCount val="4"/>
                <c:pt idx="0">
                  <c:v>10</c:v>
                </c:pt>
                <c:pt idx="1">
                  <c:v>44</c:v>
                </c:pt>
                <c:pt idx="2">
                  <c:v>37</c:v>
                </c:pt>
                <c:pt idx="3">
                  <c:v>46</c:v>
                </c:pt>
              </c:numCache>
            </c:numRef>
          </c:val>
          <c:extLst>
            <c:ext xmlns:c16="http://schemas.microsoft.com/office/drawing/2014/chart" uri="{C3380CC4-5D6E-409C-BE32-E72D297353CC}">
              <c16:uniqueId val="{00000000-5124-4310-BC2E-C6E973CB7E04}"/>
            </c:ext>
          </c:extLst>
        </c:ser>
        <c:dLbls>
          <c:showLegendKey val="0"/>
          <c:showVal val="1"/>
          <c:showCatName val="0"/>
          <c:showSerName val="0"/>
          <c:showPercent val="0"/>
          <c:showBubbleSize val="0"/>
        </c:dLbls>
        <c:gapWidth val="100"/>
        <c:overlap val="-24"/>
        <c:axId val="46348544"/>
        <c:axId val="46362624"/>
      </c:barChart>
      <c:catAx>
        <c:axId val="46348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46362624"/>
        <c:crosses val="autoZero"/>
        <c:auto val="1"/>
        <c:lblAlgn val="ctr"/>
        <c:lblOffset val="100"/>
        <c:noMultiLvlLbl val="0"/>
      </c:catAx>
      <c:valAx>
        <c:axId val="463626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4634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Cantidad de pacientes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5"/>
                <c:pt idx="0">
                  <c:v>AC+T</c:v>
                </c:pt>
                <c:pt idx="1">
                  <c:v>AC</c:v>
                </c:pt>
                <c:pt idx="2">
                  <c:v>DC</c:v>
                </c:pt>
                <c:pt idx="3">
                  <c:v>CMF</c:v>
                </c:pt>
                <c:pt idx="4">
                  <c:v>T</c:v>
                </c:pt>
              </c:strCache>
            </c:strRef>
          </c:cat>
          <c:val>
            <c:numRef>
              <c:f>Hoja1!$B$2:$B$7</c:f>
              <c:numCache>
                <c:formatCode>General</c:formatCode>
                <c:ptCount val="6"/>
                <c:pt idx="0">
                  <c:v>72</c:v>
                </c:pt>
                <c:pt idx="1">
                  <c:v>51</c:v>
                </c:pt>
                <c:pt idx="2">
                  <c:v>13</c:v>
                </c:pt>
                <c:pt idx="3">
                  <c:v>11</c:v>
                </c:pt>
                <c:pt idx="4">
                  <c:v>4</c:v>
                </c:pt>
              </c:numCache>
            </c:numRef>
          </c:val>
          <c:extLst>
            <c:ext xmlns:c16="http://schemas.microsoft.com/office/drawing/2014/chart" uri="{C3380CC4-5D6E-409C-BE32-E72D297353CC}">
              <c16:uniqueId val="{00000000-021A-4DE1-B133-0A61981C4BE8}"/>
            </c:ext>
          </c:extLst>
        </c:ser>
        <c:ser>
          <c:idx val="1"/>
          <c:order val="1"/>
          <c:tx>
            <c:strRef>
              <c:f>Hoja1!$C$1</c:f>
              <c:strCache>
                <c:ptCount val="1"/>
                <c:pt idx="0">
                  <c:v>Cantidad de ciclos administrados</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5"/>
                <c:pt idx="0">
                  <c:v>AC+T</c:v>
                </c:pt>
                <c:pt idx="1">
                  <c:v>AC</c:v>
                </c:pt>
                <c:pt idx="2">
                  <c:v>DC</c:v>
                </c:pt>
                <c:pt idx="3">
                  <c:v>CMF</c:v>
                </c:pt>
                <c:pt idx="4">
                  <c:v>T</c:v>
                </c:pt>
              </c:strCache>
            </c:strRef>
          </c:cat>
          <c:val>
            <c:numRef>
              <c:f>Hoja1!$C$2:$C$7</c:f>
              <c:numCache>
                <c:formatCode>General</c:formatCode>
                <c:ptCount val="6"/>
                <c:pt idx="0">
                  <c:v>277</c:v>
                </c:pt>
                <c:pt idx="1">
                  <c:v>204</c:v>
                </c:pt>
                <c:pt idx="2">
                  <c:v>67</c:v>
                </c:pt>
                <c:pt idx="3">
                  <c:v>47</c:v>
                </c:pt>
                <c:pt idx="4">
                  <c:v>16</c:v>
                </c:pt>
              </c:numCache>
            </c:numRef>
          </c:val>
          <c:extLst>
            <c:ext xmlns:c16="http://schemas.microsoft.com/office/drawing/2014/chart" uri="{C3380CC4-5D6E-409C-BE32-E72D297353CC}">
              <c16:uniqueId val="{00000001-021A-4DE1-B133-0A61981C4BE8}"/>
            </c:ext>
          </c:extLst>
        </c:ser>
        <c:dLbls>
          <c:showLegendKey val="0"/>
          <c:showVal val="1"/>
          <c:showCatName val="0"/>
          <c:showSerName val="0"/>
          <c:showPercent val="0"/>
          <c:showBubbleSize val="0"/>
        </c:dLbls>
        <c:gapWidth val="100"/>
        <c:axId val="92381952"/>
        <c:axId val="92383488"/>
      </c:barChart>
      <c:catAx>
        <c:axId val="923819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92383488"/>
        <c:crosses val="autoZero"/>
        <c:auto val="1"/>
        <c:lblAlgn val="ctr"/>
        <c:lblOffset val="100"/>
        <c:noMultiLvlLbl val="0"/>
      </c:catAx>
      <c:valAx>
        <c:axId val="9238348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9238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Hoja1!$B$1</c:f>
              <c:strCache>
                <c:ptCount val="1"/>
                <c:pt idx="0">
                  <c:v>Quimioterapia</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68-4FAC-9440-68F563B1C65E}"/>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68-4FAC-9440-68F563B1C65E}"/>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68-4FAC-9440-68F563B1C65E}"/>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68-4FAC-9440-68F563B1C65E}"/>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68-4FAC-9440-68F563B1C65E}"/>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68-4FAC-9440-68F563B1C65E}"/>
                </c:ext>
              </c:extLst>
            </c:dLbl>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68-4FAC-9440-68F563B1C65E}"/>
                </c:ext>
              </c:extLst>
            </c:dLbl>
            <c:dLbl>
              <c:idx val="7"/>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68-4FAC-9440-68F563B1C65E}"/>
                </c:ext>
              </c:extLst>
            </c:dLbl>
            <c:spPr>
              <a:noFill/>
              <a:ln>
                <a:noFill/>
              </a:ln>
              <a:effectLst/>
            </c:spPr>
            <c:txPr>
              <a:bodyPr wrap="square" lIns="38100" tIns="19050" rIns="38100" bIns="19050" anchor="ctr">
                <a:spAutoFit/>
              </a:bodyPr>
              <a:lstStyle/>
              <a:p>
                <a:pPr>
                  <a:defRPr>
                    <a:solidFill>
                      <a:schemeClr val="bg1"/>
                    </a:solidFill>
                  </a:defRPr>
                </a:pPr>
                <a:endParaRPr lang="es-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Hoja1!$A$2:$A$9</c:f>
              <c:strCache>
                <c:ptCount val="8"/>
                <c:pt idx="0">
                  <c:v>Torundas</c:v>
                </c:pt>
                <c:pt idx="1">
                  <c:v>Alcohol</c:v>
                </c:pt>
                <c:pt idx="2">
                  <c:v>Trócar</c:v>
                </c:pt>
                <c:pt idx="3">
                  <c:v>Esparadrapo</c:v>
                </c:pt>
                <c:pt idx="4">
                  <c:v>Equipo de venoclisis</c:v>
                </c:pt>
                <c:pt idx="5">
                  <c:v>Solución salina fisiológica 0.9%</c:v>
                </c:pt>
                <c:pt idx="6">
                  <c:v>Jeringuillas 10ml</c:v>
                </c:pt>
                <c:pt idx="7">
                  <c:v>Jeringuillas 20ml</c:v>
                </c:pt>
              </c:strCache>
            </c:strRef>
          </c:cat>
          <c:val>
            <c:numRef>
              <c:f>Hoja1!$B$2:$B$9</c:f>
              <c:numCache>
                <c:formatCode>General</c:formatCode>
                <c:ptCount val="8"/>
                <c:pt idx="0">
                  <c:v>3666</c:v>
                </c:pt>
                <c:pt idx="1">
                  <c:v>2444</c:v>
                </c:pt>
                <c:pt idx="2">
                  <c:v>611</c:v>
                </c:pt>
                <c:pt idx="3">
                  <c:v>611</c:v>
                </c:pt>
                <c:pt idx="4">
                  <c:v>1833</c:v>
                </c:pt>
                <c:pt idx="5">
                  <c:v>2444</c:v>
                </c:pt>
                <c:pt idx="6">
                  <c:v>1222</c:v>
                </c:pt>
                <c:pt idx="7">
                  <c:v>1833</c:v>
                </c:pt>
              </c:numCache>
            </c:numRef>
          </c:val>
          <c:extLst>
            <c:ext xmlns:c16="http://schemas.microsoft.com/office/drawing/2014/chart" uri="{C3380CC4-5D6E-409C-BE32-E72D297353CC}">
              <c16:uniqueId val="{00000008-B368-4FAC-9440-68F563B1C65E}"/>
            </c:ext>
          </c:extLst>
        </c:ser>
        <c:ser>
          <c:idx val="1"/>
          <c:order val="1"/>
          <c:tx>
            <c:strRef>
              <c:f>Hoja1!$C$1</c:f>
              <c:strCache>
                <c:ptCount val="1"/>
                <c:pt idx="0">
                  <c:v>Complementarios</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68-4FAC-9440-68F563B1C65E}"/>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68-4FAC-9440-68F563B1C65E}"/>
                </c:ext>
              </c:extLst>
            </c:dLbl>
            <c:dLbl>
              <c:idx val="7"/>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68-4FAC-9440-68F563B1C65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Hoja1!$A$2:$A$9</c:f>
              <c:strCache>
                <c:ptCount val="8"/>
                <c:pt idx="0">
                  <c:v>Torundas</c:v>
                </c:pt>
                <c:pt idx="1">
                  <c:v>Alcohol</c:v>
                </c:pt>
                <c:pt idx="2">
                  <c:v>Trócar</c:v>
                </c:pt>
                <c:pt idx="3">
                  <c:v>Esparadrapo</c:v>
                </c:pt>
                <c:pt idx="4">
                  <c:v>Equipo de venoclisis</c:v>
                </c:pt>
                <c:pt idx="5">
                  <c:v>Solución salina fisiológica 0.9%</c:v>
                </c:pt>
                <c:pt idx="6">
                  <c:v>Jeringuillas 10ml</c:v>
                </c:pt>
                <c:pt idx="7">
                  <c:v>Jeringuillas 20ml</c:v>
                </c:pt>
              </c:strCache>
            </c:strRef>
          </c:cat>
          <c:val>
            <c:numRef>
              <c:f>Hoja1!$C$2:$C$9</c:f>
              <c:numCache>
                <c:formatCode>General</c:formatCode>
                <c:ptCount val="8"/>
                <c:pt idx="0">
                  <c:v>1833</c:v>
                </c:pt>
                <c:pt idx="1">
                  <c:v>2444</c:v>
                </c:pt>
                <c:pt idx="7">
                  <c:v>611</c:v>
                </c:pt>
              </c:numCache>
            </c:numRef>
          </c:val>
          <c:extLst>
            <c:ext xmlns:c16="http://schemas.microsoft.com/office/drawing/2014/chart" uri="{C3380CC4-5D6E-409C-BE32-E72D297353CC}">
              <c16:uniqueId val="{0000000D-B368-4FAC-9440-68F563B1C65E}"/>
            </c:ext>
          </c:extLst>
        </c:ser>
        <c:dLbls>
          <c:showLegendKey val="0"/>
          <c:showVal val="0"/>
          <c:showCatName val="0"/>
          <c:showSerName val="0"/>
          <c:showPercent val="0"/>
          <c:showBubbleSize val="0"/>
        </c:dLbls>
        <c:gapWidth val="150"/>
        <c:overlap val="100"/>
        <c:axId val="46275584"/>
        <c:axId val="40768256"/>
      </c:barChart>
      <c:catAx>
        <c:axId val="4627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0768256"/>
        <c:crosses val="autoZero"/>
        <c:auto val="1"/>
        <c:lblAlgn val="ctr"/>
        <c:lblOffset val="100"/>
        <c:noMultiLvlLbl val="0"/>
      </c:catAx>
      <c:valAx>
        <c:axId val="4076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627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Bulbos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Doxorrubicina (50mg)</c:v>
                </c:pt>
                <c:pt idx="1">
                  <c:v>Ciclofosfamida (1g)</c:v>
                </c:pt>
                <c:pt idx="2">
                  <c:v>Paclitaxel   (300 mg)</c:v>
                </c:pt>
                <c:pt idx="3">
                  <c:v>Docetaxel      (80 mg)</c:v>
                </c:pt>
                <c:pt idx="4">
                  <c:v>Metotrexate (50 mg)</c:v>
                </c:pt>
                <c:pt idx="5">
                  <c:v>5-FU (500mg)</c:v>
                </c:pt>
              </c:strCache>
            </c:strRef>
          </c:cat>
          <c:val>
            <c:numRef>
              <c:f>Hoja1!$B$2:$B$7</c:f>
              <c:numCache>
                <c:formatCode>General</c:formatCode>
                <c:ptCount val="6"/>
                <c:pt idx="0">
                  <c:v>721</c:v>
                </c:pt>
                <c:pt idx="1">
                  <c:v>476</c:v>
                </c:pt>
                <c:pt idx="2">
                  <c:v>143</c:v>
                </c:pt>
                <c:pt idx="3">
                  <c:v>106</c:v>
                </c:pt>
                <c:pt idx="4">
                  <c:v>64</c:v>
                </c:pt>
                <c:pt idx="5">
                  <c:v>96</c:v>
                </c:pt>
              </c:numCache>
            </c:numRef>
          </c:val>
          <c:extLst>
            <c:ext xmlns:c16="http://schemas.microsoft.com/office/drawing/2014/chart" uri="{C3380CC4-5D6E-409C-BE32-E72D297353CC}">
              <c16:uniqueId val="{00000000-A6C5-4A3F-A77E-8F2CFAA432C1}"/>
            </c:ext>
          </c:extLst>
        </c:ser>
        <c:ser>
          <c:idx val="1"/>
          <c:order val="1"/>
          <c:tx>
            <c:strRef>
              <c:f>Hoja1!$C$1</c:f>
              <c:strCache>
                <c:ptCount val="1"/>
                <c:pt idx="0">
                  <c:v>Columna1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Doxorrubicina (50mg)</c:v>
                </c:pt>
                <c:pt idx="1">
                  <c:v>Ciclofosfamida (1g)</c:v>
                </c:pt>
                <c:pt idx="2">
                  <c:v>Paclitaxel   (300 mg)</c:v>
                </c:pt>
                <c:pt idx="3">
                  <c:v>Docetaxel      (80 mg)</c:v>
                </c:pt>
                <c:pt idx="4">
                  <c:v>Metotrexate (50 mg)</c:v>
                </c:pt>
                <c:pt idx="5">
                  <c:v>5-FU (500mg)</c:v>
                </c:pt>
              </c:strCache>
            </c:strRef>
          </c:cat>
          <c:val>
            <c:numRef>
              <c:f>Hoja1!$C$2:$C$7</c:f>
              <c:numCache>
                <c:formatCode>General</c:formatCode>
                <c:ptCount val="6"/>
              </c:numCache>
            </c:numRef>
          </c:val>
          <c:extLst>
            <c:ext xmlns:c16="http://schemas.microsoft.com/office/drawing/2014/chart" uri="{C3380CC4-5D6E-409C-BE32-E72D297353CC}">
              <c16:uniqueId val="{00000001-A6C5-4A3F-A77E-8F2CFAA432C1}"/>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Doxorrubicina (50mg)</c:v>
                </c:pt>
                <c:pt idx="1">
                  <c:v>Ciclofosfamida (1g)</c:v>
                </c:pt>
                <c:pt idx="2">
                  <c:v>Paclitaxel   (300 mg)</c:v>
                </c:pt>
                <c:pt idx="3">
                  <c:v>Docetaxel      (80 mg)</c:v>
                </c:pt>
                <c:pt idx="4">
                  <c:v>Metotrexate (50 mg)</c:v>
                </c:pt>
                <c:pt idx="5">
                  <c:v>5-FU (500mg)</c:v>
                </c:pt>
              </c:strCache>
            </c:strRef>
          </c:cat>
          <c:val>
            <c:numRef>
              <c:f>Hoja1!$D$2:$D$7</c:f>
              <c:numCache>
                <c:formatCode>General</c:formatCode>
                <c:ptCount val="6"/>
              </c:numCache>
            </c:numRef>
          </c:val>
          <c:extLst>
            <c:ext xmlns:c16="http://schemas.microsoft.com/office/drawing/2014/chart" uri="{C3380CC4-5D6E-409C-BE32-E72D297353CC}">
              <c16:uniqueId val="{00000002-A6C5-4A3F-A77E-8F2CFAA432C1}"/>
            </c:ext>
          </c:extLst>
        </c:ser>
        <c:dLbls>
          <c:showLegendKey val="0"/>
          <c:showVal val="1"/>
          <c:showCatName val="0"/>
          <c:showSerName val="0"/>
          <c:showPercent val="0"/>
          <c:showBubbleSize val="0"/>
        </c:dLbls>
        <c:gapWidth val="219"/>
        <c:overlap val="-27"/>
        <c:axId val="41884288"/>
        <c:axId val="41898368"/>
      </c:barChart>
      <c:catAx>
        <c:axId val="4188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1898368"/>
        <c:crosses val="autoZero"/>
        <c:auto val="1"/>
        <c:lblAlgn val="ctr"/>
        <c:lblOffset val="100"/>
        <c:noMultiLvlLbl val="0"/>
      </c:catAx>
      <c:valAx>
        <c:axId val="4189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188428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Unidad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Ondasetrón (Amp 8mg)</c:v>
                </c:pt>
                <c:pt idx="1">
                  <c:v>Ondasetrón (Tab 8mg)</c:v>
                </c:pt>
                <c:pt idx="2">
                  <c:v>Dexametazona (Amp 4mg)</c:v>
                </c:pt>
                <c:pt idx="3">
                  <c:v>Dexametazona (Tab 4mg)</c:v>
                </c:pt>
                <c:pt idx="4">
                  <c:v>Difenhidramina (Amp 20 mg)</c:v>
                </c:pt>
                <c:pt idx="5">
                  <c:v>Ranitidina (Amp 150 mg)</c:v>
                </c:pt>
              </c:strCache>
            </c:strRef>
          </c:cat>
          <c:val>
            <c:numRef>
              <c:f>Hoja1!$B$2:$B$7</c:f>
              <c:numCache>
                <c:formatCode>General</c:formatCode>
                <c:ptCount val="6"/>
                <c:pt idx="0">
                  <c:v>611</c:v>
                </c:pt>
                <c:pt idx="1">
                  <c:v>5499</c:v>
                </c:pt>
                <c:pt idx="2">
                  <c:v>1222</c:v>
                </c:pt>
                <c:pt idx="3">
                  <c:v>3666</c:v>
                </c:pt>
                <c:pt idx="4">
                  <c:v>161</c:v>
                </c:pt>
                <c:pt idx="5">
                  <c:v>161</c:v>
                </c:pt>
              </c:numCache>
            </c:numRef>
          </c:val>
          <c:extLst>
            <c:ext xmlns:c16="http://schemas.microsoft.com/office/drawing/2014/chart" uri="{C3380CC4-5D6E-409C-BE32-E72D297353CC}">
              <c16:uniqueId val="{00000000-0E4F-4195-A9A9-12D61D62069F}"/>
            </c:ext>
          </c:extLst>
        </c:ser>
        <c:ser>
          <c:idx val="1"/>
          <c:order val="1"/>
          <c:tx>
            <c:strRef>
              <c:f>Hoja1!$C$1</c:f>
              <c:strCache>
                <c:ptCount val="1"/>
                <c:pt idx="0">
                  <c:v>Columna1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Ondasetrón (Amp 8mg)</c:v>
                </c:pt>
                <c:pt idx="1">
                  <c:v>Ondasetrón (Tab 8mg)</c:v>
                </c:pt>
                <c:pt idx="2">
                  <c:v>Dexametazona (Amp 4mg)</c:v>
                </c:pt>
                <c:pt idx="3">
                  <c:v>Dexametazona (Tab 4mg)</c:v>
                </c:pt>
                <c:pt idx="4">
                  <c:v>Difenhidramina (Amp 20 mg)</c:v>
                </c:pt>
                <c:pt idx="5">
                  <c:v>Ranitidina (Amp 150 mg)</c:v>
                </c:pt>
              </c:strCache>
            </c:strRef>
          </c:cat>
          <c:val>
            <c:numRef>
              <c:f>Hoja1!$C$2:$C$7</c:f>
              <c:numCache>
                <c:formatCode>General</c:formatCode>
                <c:ptCount val="6"/>
              </c:numCache>
            </c:numRef>
          </c:val>
          <c:extLst>
            <c:ext xmlns:c16="http://schemas.microsoft.com/office/drawing/2014/chart" uri="{C3380CC4-5D6E-409C-BE32-E72D297353CC}">
              <c16:uniqueId val="{00000001-0E4F-4195-A9A9-12D61D62069F}"/>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Ondasetrón (Amp 8mg)</c:v>
                </c:pt>
                <c:pt idx="1">
                  <c:v>Ondasetrón (Tab 8mg)</c:v>
                </c:pt>
                <c:pt idx="2">
                  <c:v>Dexametazona (Amp 4mg)</c:v>
                </c:pt>
                <c:pt idx="3">
                  <c:v>Dexametazona (Tab 4mg)</c:v>
                </c:pt>
                <c:pt idx="4">
                  <c:v>Difenhidramina (Amp 20 mg)</c:v>
                </c:pt>
                <c:pt idx="5">
                  <c:v>Ranitidina (Amp 150 mg)</c:v>
                </c:pt>
              </c:strCache>
            </c:strRef>
          </c:cat>
          <c:val>
            <c:numRef>
              <c:f>Hoja1!$D$2:$D$7</c:f>
              <c:numCache>
                <c:formatCode>General</c:formatCode>
                <c:ptCount val="6"/>
              </c:numCache>
            </c:numRef>
          </c:val>
          <c:extLst>
            <c:ext xmlns:c16="http://schemas.microsoft.com/office/drawing/2014/chart" uri="{C3380CC4-5D6E-409C-BE32-E72D297353CC}">
              <c16:uniqueId val="{00000002-0E4F-4195-A9A9-12D61D62069F}"/>
            </c:ext>
          </c:extLst>
        </c:ser>
        <c:dLbls>
          <c:showLegendKey val="0"/>
          <c:showVal val="1"/>
          <c:showCatName val="0"/>
          <c:showSerName val="0"/>
          <c:showPercent val="0"/>
          <c:showBubbleSize val="0"/>
        </c:dLbls>
        <c:gapWidth val="219"/>
        <c:overlap val="-27"/>
        <c:axId val="41937920"/>
        <c:axId val="41952000"/>
      </c:barChart>
      <c:catAx>
        <c:axId val="4193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1952000"/>
        <c:crosses val="autoZero"/>
        <c:auto val="1"/>
        <c:lblAlgn val="ctr"/>
        <c:lblOffset val="100"/>
        <c:noMultiLvlLbl val="0"/>
      </c:catAx>
      <c:valAx>
        <c:axId val="4195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crossAx val="4193792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15</Pages>
  <Words>3884</Words>
  <Characters>21368</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Curbelo</dc:creator>
  <cp:keywords/>
  <dc:description/>
  <cp:lastModifiedBy>Luis Curbelo</cp:lastModifiedBy>
  <cp:revision>24</cp:revision>
  <dcterms:created xsi:type="dcterms:W3CDTF">2023-02-17T09:38:00Z</dcterms:created>
  <dcterms:modified xsi:type="dcterms:W3CDTF">2023-06-30T04:01:00Z</dcterms:modified>
</cp:coreProperties>
</file>